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98F" w:rsidRPr="0043298F" w:rsidRDefault="0043298F" w:rsidP="00AF72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  <w:r w:rsidRPr="0043298F">
        <w:rPr>
          <w:rFonts w:ascii="Times New Roman" w:hAnsi="Times New Roman" w:cs="Times New Roman"/>
          <w:sz w:val="24"/>
          <w:szCs w:val="24"/>
        </w:rPr>
        <w:t xml:space="preserve"> к письму</w:t>
      </w:r>
    </w:p>
    <w:p w:rsidR="0043298F" w:rsidRPr="0043298F" w:rsidRDefault="0043298F" w:rsidP="00AF72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3298F">
        <w:rPr>
          <w:rFonts w:ascii="Times New Roman" w:hAnsi="Times New Roman" w:cs="Times New Roman"/>
          <w:sz w:val="24"/>
          <w:szCs w:val="24"/>
        </w:rPr>
        <w:t>от ________№_________</w:t>
      </w:r>
    </w:p>
    <w:p w:rsidR="0043298F" w:rsidRDefault="0043298F" w:rsidP="0043298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FFFFFF" w:themeColor="background1" w:fill="FFFFFF" w:themeFill="background1"/>
        </w:rPr>
      </w:pPr>
    </w:p>
    <w:p w:rsidR="00771D00" w:rsidRPr="005D6205" w:rsidRDefault="00492B61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FFFFFF" w:themeColor="background1" w:fill="FFFFFF" w:themeFill="background1"/>
        </w:rPr>
      </w:pPr>
      <w:r w:rsidRPr="005D6205">
        <w:rPr>
          <w:rFonts w:ascii="Times New Roman" w:hAnsi="Times New Roman" w:cs="Times New Roman"/>
          <w:b/>
          <w:sz w:val="28"/>
          <w:szCs w:val="28"/>
          <w:shd w:val="clear" w:color="FFFFFF" w:themeColor="background1" w:fill="FFFFFF" w:themeFill="background1"/>
        </w:rPr>
        <w:t xml:space="preserve">Информация </w:t>
      </w:r>
    </w:p>
    <w:p w:rsidR="004567D6" w:rsidRPr="005D6205" w:rsidRDefault="00771D0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205">
        <w:rPr>
          <w:rFonts w:ascii="Times New Roman" w:hAnsi="Times New Roman" w:cs="Times New Roman"/>
          <w:b/>
          <w:sz w:val="28"/>
          <w:szCs w:val="28"/>
          <w:shd w:val="clear" w:color="FFFFFF" w:themeColor="background1" w:fill="FFFFFF" w:themeFill="background1"/>
        </w:rPr>
        <w:t>о</w:t>
      </w:r>
      <w:r w:rsidR="00492B61" w:rsidRPr="005D6205">
        <w:rPr>
          <w:rFonts w:ascii="Times New Roman" w:hAnsi="Times New Roman" w:cs="Times New Roman"/>
          <w:b/>
          <w:sz w:val="28"/>
          <w:szCs w:val="28"/>
          <w:shd w:val="clear" w:color="FFFFFF" w:themeColor="background1" w:fill="FFFFFF" w:themeFill="background1"/>
        </w:rPr>
        <w:t xml:space="preserve"> реализаци</w:t>
      </w:r>
      <w:r w:rsidR="00492B61" w:rsidRPr="005D6205">
        <w:rPr>
          <w:rFonts w:ascii="Times New Roman" w:hAnsi="Times New Roman" w:cs="Times New Roman"/>
          <w:b/>
          <w:sz w:val="28"/>
          <w:szCs w:val="28"/>
        </w:rPr>
        <w:t>и регионального проекта «Формирование комфортной городской среды» и подпрограммы «Градостроительное обеспечение и комплексное развитие территорий» государственной программы автономного округа «Пространственное развитие и формирование комфортн</w:t>
      </w:r>
      <w:r w:rsidRPr="005D6205">
        <w:rPr>
          <w:rFonts w:ascii="Times New Roman" w:hAnsi="Times New Roman" w:cs="Times New Roman"/>
          <w:b/>
          <w:sz w:val="28"/>
          <w:szCs w:val="28"/>
        </w:rPr>
        <w:t>ой городской среды» в 2025 году</w:t>
      </w:r>
    </w:p>
    <w:p w:rsidR="004567D6" w:rsidRDefault="004567D6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567D6" w:rsidRPr="00771D00" w:rsidRDefault="00771D00" w:rsidP="00771D00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71D00">
        <w:rPr>
          <w:rFonts w:ascii="Times New Roman" w:hAnsi="Times New Roman" w:cs="Times New Roman"/>
          <w:i/>
          <w:sz w:val="28"/>
          <w:szCs w:val="28"/>
        </w:rPr>
        <w:t xml:space="preserve">Региональный проект </w:t>
      </w:r>
      <w:r w:rsidR="00492B61" w:rsidRPr="00771D00">
        <w:rPr>
          <w:rFonts w:ascii="Times New Roman" w:hAnsi="Times New Roman" w:cs="Times New Roman"/>
          <w:i/>
          <w:sz w:val="28"/>
          <w:szCs w:val="28"/>
        </w:rPr>
        <w:t>«Формирование комфортной городской среды»</w:t>
      </w:r>
    </w:p>
    <w:p w:rsidR="004567D6" w:rsidRDefault="004567D6" w:rsidP="00771D00">
      <w:pPr>
        <w:shd w:val="clear" w:color="FFFFFF" w:themeColor="background1" w:fill="FFFFFF" w:themeFill="background1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национальной цели развития «Комфортная и безопасная среда для жизни» в автономном округе реализуется региональный проект «Формирование комфортной городской среды»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(далее – региональный проект, ФКГС),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1 января 2025 года находится в составе национального проекта «Инфраструктура для жизни»</w:t>
      </w:r>
      <w:r>
        <w:rPr>
          <w:rFonts w:ascii="Times New Roman" w:eastAsia="Times New Roman" w:hAnsi="Times New Roman" w:cs="Times New Roman"/>
        </w:rPr>
        <w:t>.</w:t>
      </w: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регионального проекта в автономном округе действует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государственная программа автономного округа «Пространственное развитие и формирование комфортной городской среды»</w:t>
      </w:r>
      <w:r>
        <w:rPr>
          <w:rStyle w:val="af2"/>
          <w:rFonts w:ascii="Times New Roman" w:eastAsia="Times New Roman" w:hAnsi="Times New Roman" w:cs="Times New Roman"/>
          <w:sz w:val="28"/>
          <w:szCs w:val="28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период с 2019 по 2025 годы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благоустроено дворовых территорий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 общественных пространств 939, из которых:</w:t>
      </w:r>
    </w:p>
    <w:p w:rsidR="004567D6" w:rsidRDefault="00AF728D" w:rsidP="00771D00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3124">
        <w:rPr>
          <w:rFonts w:ascii="Times New Roman" w:eastAsia="Times New Roman" w:hAnsi="Times New Roman" w:cs="Times New Roman"/>
          <w:sz w:val="28"/>
          <w:szCs w:val="28"/>
        </w:rPr>
        <w:t>520 дворовых территорий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ab/>
      </w:r>
      <w:r w:rsidR="00492B6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>419 общественных пространств, включая 11 конкурсных проектов -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них в 2025 году благоустроено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73  общественных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пространства общей площадью 70 га (плановый показатель выполнен на 100%), из которых: </w:t>
      </w:r>
    </w:p>
    <w:p w:rsidR="004567D6" w:rsidRDefault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  <w:highlight w:val="white"/>
        </w:rPr>
        <w:t>37 территорий</w:t>
      </w:r>
      <w:r w:rsidR="00492B61">
        <w:rPr>
          <w:rFonts w:ascii="Times New Roman" w:hAnsi="Times New Roman" w:cs="Times New Roman"/>
          <w:sz w:val="28"/>
          <w:szCs w:val="28"/>
        </w:rPr>
        <w:t xml:space="preserve"> в рам</w:t>
      </w:r>
      <w:r w:rsidR="00883124">
        <w:rPr>
          <w:rFonts w:ascii="Times New Roman" w:hAnsi="Times New Roman" w:cs="Times New Roman"/>
          <w:sz w:val="28"/>
          <w:szCs w:val="28"/>
        </w:rPr>
        <w:t>к</w:t>
      </w:r>
      <w:r w:rsidR="00492B61">
        <w:rPr>
          <w:rFonts w:ascii="Times New Roman" w:hAnsi="Times New Roman" w:cs="Times New Roman"/>
          <w:sz w:val="28"/>
          <w:szCs w:val="28"/>
        </w:rPr>
        <w:t xml:space="preserve">ах реализации регионального проекта </w:t>
      </w:r>
      <w:r w:rsidR="00492B61">
        <w:rPr>
          <w:rFonts w:ascii="Times New Roman" w:hAnsi="Times New Roman" w:cs="Times New Roman"/>
          <w:sz w:val="28"/>
          <w:szCs w:val="28"/>
        </w:rPr>
        <w:br/>
        <w:t>«Формирование комфортной городской среды»;</w:t>
      </w:r>
    </w:p>
    <w:p w:rsidR="004567D6" w:rsidRDefault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2 территории – победители </w:t>
      </w:r>
      <w:r w:rsidR="00492B6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IX</w:t>
      </w:r>
      <w:r w:rsidR="00492B61" w:rsidRPr="0015490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  <w:highlight w:val="white"/>
        </w:rPr>
        <w:t>Всероссийского конкурса лучших проектов создания комфортной городской среды в малых городах и исторических поселениях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67D6" w:rsidRDefault="00AF728D">
      <w:pPr>
        <w:shd w:val="clear" w:color="FFFFFF" w:themeColor="background1" w:fill="FFFFFF" w:themeFill="background1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центрального городского сквера «Северное сияние» по улице Ленина в городе </w:t>
      </w:r>
      <w:proofErr w:type="spellStart"/>
      <w:proofErr w:type="gramStart"/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Югорске</w:t>
      </w:r>
      <w:proofErr w:type="spellEnd"/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B61">
        <w:rPr>
          <w:rFonts w:ascii="Times New Roman" w:hAnsi="Times New Roman"/>
          <w:sz w:val="28"/>
          <w:szCs w:val="28"/>
        </w:rPr>
        <w:t>площадью</w:t>
      </w:r>
      <w:proofErr w:type="gramEnd"/>
      <w:r w:rsidR="00492B61">
        <w:rPr>
          <w:rFonts w:ascii="Times New Roman" w:hAnsi="Times New Roman"/>
          <w:sz w:val="28"/>
          <w:szCs w:val="28"/>
        </w:rPr>
        <w:t xml:space="preserve"> благоустройства 3,2 га</w:t>
      </w:r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67D6" w:rsidRDefault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 «</w:t>
      </w:r>
      <w:proofErr w:type="gramEnd"/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 Первопроходцев в городе Когалыме» 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br/>
      </w:r>
      <w:r w:rsidR="00492B61">
        <w:rPr>
          <w:rFonts w:ascii="Times New Roman" w:eastAsia="Times New Roman" w:hAnsi="Times New Roman" w:cs="Times New Roman"/>
          <w:sz w:val="28"/>
          <w:szCs w:val="28"/>
          <w:lang w:eastAsia="ru-RU"/>
        </w:rPr>
        <w:t>(2 этап).   О</w:t>
      </w:r>
      <w:r w:rsidR="00492B61">
        <w:rPr>
          <w:rFonts w:ascii="Times New Roman" w:hAnsi="Times New Roman" w:cs="Times New Roman"/>
          <w:sz w:val="28"/>
          <w:szCs w:val="28"/>
        </w:rPr>
        <w:t xml:space="preserve">бщая площадь </w:t>
      </w:r>
      <w:r w:rsidR="00492B61">
        <w:rPr>
          <w:rFonts w:ascii="Times New Roman" w:hAnsi="Times New Roman"/>
          <w:sz w:val="28"/>
          <w:szCs w:val="28"/>
        </w:rPr>
        <w:t>благоустройства составляет</w:t>
      </w:r>
      <w:r w:rsidR="00492B61">
        <w:rPr>
          <w:rFonts w:ascii="Times New Roman" w:hAnsi="Times New Roman" w:cs="Times New Roman"/>
          <w:sz w:val="28"/>
          <w:szCs w:val="28"/>
        </w:rPr>
        <w:t xml:space="preserve"> 22 га, из которых 7,2 га </w:t>
      </w:r>
      <w:r>
        <w:rPr>
          <w:rFonts w:ascii="Times New Roman" w:hAnsi="Times New Roman" w:cs="Times New Roman"/>
          <w:sz w:val="28"/>
          <w:szCs w:val="28"/>
        </w:rPr>
        <w:t>площадь благоустройства 2 этапа;</w:t>
      </w:r>
    </w:p>
    <w:p w:rsidR="004567D6" w:rsidRDefault="00AF728D" w:rsidP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92B61">
        <w:rPr>
          <w:rFonts w:ascii="Times New Roman" w:eastAsia="Times New Roman" w:hAnsi="Times New Roman" w:cs="Times New Roman"/>
          <w:sz w:val="28"/>
          <w:szCs w:val="28"/>
          <w:highlight w:val="white"/>
        </w:rPr>
        <w:t>34 территории в рамках муниципальных программ и (или) за счет внебюджетных источников.</w:t>
      </w:r>
    </w:p>
    <w:p w:rsidR="004567D6" w:rsidRDefault="00492B61" w:rsidP="00AF728D">
      <w:pPr>
        <w:shd w:val="clear" w:color="FFFFFF" w:themeColor="background1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73 общественных территорий, общей площадью 70 га: </w:t>
      </w:r>
    </w:p>
    <w:p w:rsidR="00AF728D" w:rsidRPr="00AF728D" w:rsidRDefault="00883124" w:rsidP="00AF728D">
      <w:pPr>
        <w:pStyle w:val="af9"/>
        <w:numPr>
          <w:ilvl w:val="0"/>
          <w:numId w:val="23"/>
        </w:numPr>
        <w:shd w:val="clear" w:color="FFFFFF" w:themeColor="background1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парка, сквера</w:t>
      </w:r>
      <w:r w:rsidR="00492B61" w:rsidRPr="00AF728D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39,7 га;</w:t>
      </w:r>
    </w:p>
    <w:p w:rsidR="00AF728D" w:rsidRPr="00AF728D" w:rsidRDefault="00883124" w:rsidP="00AF728D">
      <w:pPr>
        <w:pStyle w:val="af9"/>
        <w:numPr>
          <w:ilvl w:val="0"/>
          <w:numId w:val="24"/>
        </w:numPr>
        <w:shd w:val="clear" w:color="FFFFFF" w:themeColor="background1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пешеходных зон,</w:t>
      </w:r>
      <w:r w:rsidR="00492B61" w:rsidRPr="00AF728D">
        <w:rPr>
          <w:rFonts w:ascii="Times New Roman" w:eastAsia="Times New Roman" w:hAnsi="Times New Roman" w:cs="Times New Roman"/>
          <w:sz w:val="28"/>
          <w:szCs w:val="28"/>
        </w:rPr>
        <w:t xml:space="preserve"> тротуаров общей площадью 5 га;</w:t>
      </w:r>
    </w:p>
    <w:p w:rsidR="00AF728D" w:rsidRDefault="00883124" w:rsidP="00AF728D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 спортивных,</w:t>
      </w:r>
      <w:r w:rsidR="00492B61" w:rsidRPr="00AF728D">
        <w:rPr>
          <w:rFonts w:ascii="Times New Roman" w:eastAsia="Times New Roman" w:hAnsi="Times New Roman" w:cs="Times New Roman"/>
          <w:sz w:val="28"/>
          <w:szCs w:val="28"/>
        </w:rPr>
        <w:t xml:space="preserve"> детских площадок общей площадью 20 га;</w:t>
      </w:r>
    </w:p>
    <w:p w:rsidR="00961C45" w:rsidRPr="00AF728D" w:rsidRDefault="00492B61" w:rsidP="00AF728D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28D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883124">
        <w:rPr>
          <w:rFonts w:ascii="Times New Roman" w:eastAsia="Times New Roman" w:hAnsi="Times New Roman" w:cs="Times New Roman"/>
          <w:sz w:val="28"/>
          <w:szCs w:val="28"/>
        </w:rPr>
        <w:t xml:space="preserve">благоустроенные </w:t>
      </w:r>
      <w:proofErr w:type="gramStart"/>
      <w:r w:rsidR="00883124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AF728D">
        <w:rPr>
          <w:rFonts w:ascii="Times New Roman" w:eastAsia="Times New Roman" w:hAnsi="Times New Roman" w:cs="Times New Roman"/>
          <w:sz w:val="28"/>
          <w:szCs w:val="28"/>
        </w:rPr>
        <w:t xml:space="preserve">  набережной</w:t>
      </w:r>
      <w:proofErr w:type="gramEnd"/>
      <w:r w:rsidRPr="00AF728D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5,3 га. </w:t>
      </w:r>
    </w:p>
    <w:p w:rsidR="004567D6" w:rsidRPr="00961C45" w:rsidRDefault="00492B61" w:rsidP="00961C45">
      <w:pPr>
        <w:shd w:val="clear" w:color="FFFFFF" w:themeColor="background1" w:fill="FFFFFF" w:themeFill="background1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C45">
        <w:rPr>
          <w:rFonts w:ascii="Times New Roman" w:eastAsia="Tahoma" w:hAnsi="Times New Roman" w:cs="Times New Roman"/>
          <w:color w:val="000000" w:themeColor="text1"/>
          <w:sz w:val="28"/>
          <w:szCs w:val="28"/>
        </w:rPr>
        <w:t xml:space="preserve">Созданные общественные пространства </w:t>
      </w:r>
      <w:r w:rsidRPr="00961C4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в муниципальных образованиях автономного округа являются местами притяжения </w:t>
      </w:r>
      <w:proofErr w:type="gramStart"/>
      <w:r w:rsidRPr="00961C4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>жителей  для</w:t>
      </w:r>
      <w:proofErr w:type="gramEnd"/>
      <w:r w:rsidRPr="00961C4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 активного и семейного отдыха, проведения событийных мероприятий, влияют на развитие туристического потен</w:t>
      </w:r>
      <w:r w:rsidR="00883124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>циала  региона, а также развитие</w:t>
      </w:r>
      <w:r w:rsidRPr="00961C4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 малого предпринимательства в сфере креативных индустрий.</w:t>
      </w:r>
      <w:r w:rsidRPr="00961C45">
        <w:rPr>
          <w:rStyle w:val="sc-icfpwr"/>
          <w:rFonts w:ascii="Times New Roman" w:eastAsia="Times New Roman" w:hAnsi="Times New Roman" w:cs="Times New Roman"/>
          <w:color w:val="080808"/>
          <w:spacing w:val="-5"/>
          <w:sz w:val="28"/>
          <w:szCs w:val="28"/>
        </w:rPr>
        <w:t xml:space="preserve"> Общественные пространства созданы с безопасной инфраструктурой для детей и развитием </w:t>
      </w:r>
      <w:proofErr w:type="spellStart"/>
      <w:r w:rsidRPr="00961C45">
        <w:rPr>
          <w:rStyle w:val="sc-icfpwr"/>
          <w:rFonts w:ascii="Times New Roman" w:eastAsia="Times New Roman" w:hAnsi="Times New Roman" w:cs="Times New Roman"/>
          <w:color w:val="080808"/>
          <w:spacing w:val="-5"/>
          <w:sz w:val="28"/>
          <w:szCs w:val="28"/>
        </w:rPr>
        <w:t>безбарьерной</w:t>
      </w:r>
      <w:proofErr w:type="spellEnd"/>
      <w:r w:rsidRPr="00961C45">
        <w:rPr>
          <w:rStyle w:val="sc-icfpwr"/>
          <w:rFonts w:ascii="Times New Roman" w:eastAsia="Times New Roman" w:hAnsi="Times New Roman" w:cs="Times New Roman"/>
          <w:color w:val="080808"/>
          <w:spacing w:val="-5"/>
          <w:sz w:val="28"/>
          <w:szCs w:val="28"/>
        </w:rPr>
        <w:t xml:space="preserve"> среды для маломобильных групп населения</w:t>
      </w:r>
      <w:r w:rsidRPr="00961C45">
        <w:rPr>
          <w:rFonts w:ascii="Times New Roman" w:eastAsia="Tahoma" w:hAnsi="Times New Roman" w:cs="Times New Roman"/>
          <w:color w:val="000000" w:themeColor="text1"/>
          <w:sz w:val="28"/>
          <w:szCs w:val="28"/>
        </w:rPr>
        <w:t xml:space="preserve">. </w:t>
      </w:r>
    </w:p>
    <w:p w:rsidR="004567D6" w:rsidRDefault="004567D6" w:rsidP="00AF728D">
      <w:pPr>
        <w:shd w:val="clear" w:color="FFFFFF" w:themeColor="background1" w:fill="FFFFFF" w:themeFill="background1"/>
        <w:spacing w:line="240" w:lineRule="auto"/>
        <w:contextualSpacing/>
        <w:rPr>
          <w:rFonts w:ascii="Times New Roman" w:hAnsi="Times New Roman" w:cs="Times New Roman"/>
        </w:rPr>
      </w:pPr>
    </w:p>
    <w:p w:rsidR="004567D6" w:rsidRDefault="00492B61">
      <w:pPr>
        <w:spacing w:after="0" w:line="240" w:lineRule="auto"/>
        <w:ind w:firstLine="708"/>
        <w:jc w:val="center"/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</w:pP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Финансовое обеспечение регионального проекта </w:t>
      </w:r>
    </w:p>
    <w:p w:rsidR="004567D6" w:rsidRDefault="00492B61">
      <w:pPr>
        <w:spacing w:after="0" w:line="240" w:lineRule="auto"/>
        <w:ind w:firstLine="708"/>
        <w:jc w:val="center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среды»</w:t>
      </w: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 за 2025 год</w:t>
      </w:r>
    </w:p>
    <w:p w:rsidR="004567D6" w:rsidRDefault="004567D6">
      <w:pPr>
        <w:spacing w:after="0" w:line="240" w:lineRule="auto"/>
        <w:ind w:firstLine="708"/>
        <w:jc w:val="center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</w:p>
    <w:tbl>
      <w:tblPr>
        <w:tblStyle w:val="14"/>
        <w:tblW w:w="960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23"/>
        <w:gridCol w:w="2301"/>
        <w:gridCol w:w="1876"/>
        <w:gridCol w:w="1809"/>
      </w:tblGrid>
      <w:tr w:rsidR="004567D6">
        <w:tc>
          <w:tcPr>
            <w:tcW w:w="3623" w:type="dxa"/>
            <w:vMerge w:val="restart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Источники</w:t>
            </w: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финансирования</w:t>
            </w:r>
          </w:p>
        </w:tc>
        <w:tc>
          <w:tcPr>
            <w:tcW w:w="2301" w:type="dxa"/>
            <w:vMerge w:val="restart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Объем финансирования на 2025 год, </w:t>
            </w: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млн. рублей</w:t>
            </w:r>
          </w:p>
        </w:tc>
        <w:tc>
          <w:tcPr>
            <w:tcW w:w="3685" w:type="dxa"/>
            <w:gridSpan w:val="2"/>
            <w:vAlign w:val="center"/>
          </w:tcPr>
          <w:p w:rsidR="004567D6" w:rsidRDefault="00492B61">
            <w:pPr>
              <w:ind w:firstLine="708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Исполнение в 2025 году </w:t>
            </w:r>
          </w:p>
        </w:tc>
      </w:tr>
      <w:tr w:rsidR="004567D6">
        <w:trPr>
          <w:trHeight w:val="421"/>
        </w:trPr>
        <w:tc>
          <w:tcPr>
            <w:tcW w:w="3623" w:type="dxa"/>
            <w:vMerge/>
          </w:tcPr>
          <w:p w:rsidR="004567D6" w:rsidRDefault="004567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01" w:type="dxa"/>
            <w:vMerge/>
          </w:tcPr>
          <w:p w:rsidR="004567D6" w:rsidRDefault="004567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6" w:type="dxa"/>
            <w:vAlign w:val="center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млн. рублей</w:t>
            </w:r>
          </w:p>
        </w:tc>
        <w:tc>
          <w:tcPr>
            <w:tcW w:w="1809" w:type="dxa"/>
            <w:vAlign w:val="center"/>
          </w:tcPr>
          <w:p w:rsidR="004567D6" w:rsidRDefault="00492B61">
            <w:pPr>
              <w:ind w:firstLine="708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% исполнения</w:t>
            </w:r>
          </w:p>
        </w:tc>
      </w:tr>
      <w:tr w:rsidR="004567D6">
        <w:trPr>
          <w:trHeight w:val="647"/>
        </w:trPr>
        <w:tc>
          <w:tcPr>
            <w:tcW w:w="3623" w:type="dxa"/>
          </w:tcPr>
          <w:p w:rsidR="004567D6" w:rsidRDefault="00492B61">
            <w:pPr>
              <w:ind w:firstLine="708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ВСЕГО, из них </w:t>
            </w:r>
          </w:p>
          <w:p w:rsidR="004567D6" w:rsidRDefault="004567D6">
            <w:pPr>
              <w:ind w:firstLine="708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1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2405,9</w:t>
            </w:r>
          </w:p>
        </w:tc>
        <w:tc>
          <w:tcPr>
            <w:tcW w:w="1876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2405,9</w:t>
            </w:r>
          </w:p>
        </w:tc>
        <w:tc>
          <w:tcPr>
            <w:tcW w:w="1809" w:type="dxa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100</w:t>
            </w:r>
          </w:p>
        </w:tc>
      </w:tr>
      <w:tr w:rsidR="004567D6">
        <w:trPr>
          <w:trHeight w:val="322"/>
        </w:trPr>
        <w:tc>
          <w:tcPr>
            <w:tcW w:w="3623" w:type="dxa"/>
            <w:vMerge w:val="restart"/>
          </w:tcPr>
          <w:p w:rsidR="004567D6" w:rsidRDefault="00492B61">
            <w:pPr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Региональный проект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br/>
              <w:t>«Формирование комфортной городской среды»</w:t>
            </w:r>
          </w:p>
        </w:tc>
        <w:tc>
          <w:tcPr>
            <w:tcW w:w="2301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1655,2</w:t>
            </w:r>
          </w:p>
        </w:tc>
        <w:tc>
          <w:tcPr>
            <w:tcW w:w="1876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1655,2</w:t>
            </w:r>
          </w:p>
        </w:tc>
        <w:tc>
          <w:tcPr>
            <w:tcW w:w="1809" w:type="dxa"/>
            <w:vMerge w:val="restart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100</w:t>
            </w:r>
          </w:p>
        </w:tc>
      </w:tr>
      <w:tr w:rsidR="004567D6">
        <w:trPr>
          <w:trHeight w:val="322"/>
        </w:trPr>
        <w:tc>
          <w:tcPr>
            <w:tcW w:w="3623" w:type="dxa"/>
            <w:vMerge w:val="restart"/>
          </w:tcPr>
          <w:p w:rsidR="004567D6" w:rsidRDefault="00492B61">
            <w:pPr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Реализация мероприятий </w:t>
            </w:r>
            <w:proofErr w:type="gramStart"/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победителей  Всероссийского</w:t>
            </w:r>
            <w:proofErr w:type="gramEnd"/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 конкурса 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br/>
              <w:t>лучших проектов создания комфортной городской среды</w:t>
            </w:r>
          </w:p>
        </w:tc>
        <w:tc>
          <w:tcPr>
            <w:tcW w:w="2301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750,7</w:t>
            </w:r>
          </w:p>
        </w:tc>
        <w:tc>
          <w:tcPr>
            <w:tcW w:w="1876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750,7</w:t>
            </w:r>
          </w:p>
        </w:tc>
        <w:tc>
          <w:tcPr>
            <w:tcW w:w="1809" w:type="dxa"/>
            <w:vMerge w:val="restart"/>
            <w:vAlign w:val="center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        100</w:t>
            </w:r>
          </w:p>
        </w:tc>
      </w:tr>
      <w:tr w:rsidR="004567D6">
        <w:trPr>
          <w:trHeight w:val="667"/>
        </w:trPr>
        <w:tc>
          <w:tcPr>
            <w:tcW w:w="3623" w:type="dxa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Средства федерального бюджета, в том числе:</w:t>
            </w:r>
          </w:p>
        </w:tc>
        <w:tc>
          <w:tcPr>
            <w:tcW w:w="2301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638,1</w:t>
            </w:r>
          </w:p>
        </w:tc>
        <w:tc>
          <w:tcPr>
            <w:tcW w:w="1876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638,1</w:t>
            </w: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100</w:t>
            </w: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67D6">
        <w:trPr>
          <w:trHeight w:val="276"/>
        </w:trPr>
        <w:tc>
          <w:tcPr>
            <w:tcW w:w="3623" w:type="dxa"/>
            <w:vMerge w:val="restart"/>
          </w:tcPr>
          <w:p w:rsidR="004567D6" w:rsidRDefault="00492B61">
            <w:pPr>
              <w:rPr>
                <w:rFonts w:ascii="Times New Roman" w:eastAsia="TimesNew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i/>
                <w:iCs/>
                <w:color w:val="000000" w:themeColor="text1"/>
                <w:sz w:val="24"/>
                <w:szCs w:val="24"/>
                <w:lang w:bidi="ru-RU"/>
              </w:rPr>
              <w:t xml:space="preserve">на реализацию объектов-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победителей Всероссийского конкурса</w:t>
            </w:r>
          </w:p>
        </w:tc>
        <w:tc>
          <w:tcPr>
            <w:tcW w:w="2301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i/>
                <w:iCs/>
                <w:color w:val="000000" w:themeColor="text1"/>
                <w:sz w:val="28"/>
                <w:szCs w:val="28"/>
                <w:lang w:bidi="ru-RU"/>
              </w:rPr>
              <w:t xml:space="preserve">186,9 </w:t>
            </w:r>
          </w:p>
        </w:tc>
        <w:tc>
          <w:tcPr>
            <w:tcW w:w="1876" w:type="dxa"/>
            <w:vMerge w:val="restart"/>
          </w:tcPr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i/>
                <w:iCs/>
                <w:color w:val="000000" w:themeColor="text1"/>
                <w:sz w:val="28"/>
                <w:szCs w:val="28"/>
                <w:lang w:bidi="ru-RU"/>
              </w:rPr>
              <w:t>186,9</w:t>
            </w: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i/>
                <w:iCs/>
                <w:color w:val="000000" w:themeColor="text1"/>
                <w:sz w:val="28"/>
                <w:szCs w:val="28"/>
                <w:lang w:bidi="ru-RU"/>
              </w:rPr>
              <w:t>100</w:t>
            </w:r>
          </w:p>
        </w:tc>
      </w:tr>
      <w:tr w:rsidR="004567D6">
        <w:tc>
          <w:tcPr>
            <w:tcW w:w="3623" w:type="dxa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Средства бюджета автономного округа</w:t>
            </w:r>
          </w:p>
        </w:tc>
        <w:tc>
          <w:tcPr>
            <w:tcW w:w="2301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867,5</w:t>
            </w:r>
          </w:p>
        </w:tc>
        <w:tc>
          <w:tcPr>
            <w:tcW w:w="1876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855,6</w:t>
            </w:r>
          </w:p>
        </w:tc>
        <w:tc>
          <w:tcPr>
            <w:tcW w:w="1809" w:type="dxa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99</w:t>
            </w: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67D6">
        <w:tc>
          <w:tcPr>
            <w:tcW w:w="3623" w:type="dxa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Средства местных бюджетов</w:t>
            </w:r>
          </w:p>
        </w:tc>
        <w:tc>
          <w:tcPr>
            <w:tcW w:w="2301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454,4</w:t>
            </w:r>
          </w:p>
        </w:tc>
        <w:tc>
          <w:tcPr>
            <w:tcW w:w="1876" w:type="dxa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val="en-US"/>
              </w:rPr>
              <w:t>451,4</w:t>
            </w:r>
          </w:p>
          <w:p w:rsidR="004567D6" w:rsidRDefault="004567D6">
            <w:pPr>
              <w:ind w:firstLine="708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99</w:t>
            </w:r>
          </w:p>
          <w:p w:rsidR="004567D6" w:rsidRDefault="004567D6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67D6">
        <w:trPr>
          <w:trHeight w:val="299"/>
        </w:trPr>
        <w:tc>
          <w:tcPr>
            <w:tcW w:w="3623" w:type="dxa"/>
            <w:vMerge w:val="restart"/>
          </w:tcPr>
          <w:p w:rsidR="004567D6" w:rsidRDefault="00492B61">
            <w:pPr>
              <w:rPr>
                <w:rFonts w:ascii="Times New Roman" w:eastAsia="TimesNew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Внебюджетные источники</w:t>
            </w:r>
          </w:p>
        </w:tc>
        <w:tc>
          <w:tcPr>
            <w:tcW w:w="2301" w:type="dxa"/>
            <w:vMerge w:val="restart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445,9 </w:t>
            </w:r>
          </w:p>
        </w:tc>
        <w:tc>
          <w:tcPr>
            <w:tcW w:w="1876" w:type="dxa"/>
            <w:vMerge w:val="restart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 xml:space="preserve">445, 9 </w:t>
            </w:r>
          </w:p>
        </w:tc>
        <w:tc>
          <w:tcPr>
            <w:tcW w:w="1809" w:type="dxa"/>
            <w:vMerge w:val="restart"/>
            <w:vAlign w:val="center"/>
          </w:tcPr>
          <w:p w:rsidR="004567D6" w:rsidRDefault="00492B61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8"/>
                <w:szCs w:val="28"/>
                <w:lang w:bidi="ru-RU"/>
              </w:rPr>
              <w:t>100</w:t>
            </w:r>
          </w:p>
        </w:tc>
      </w:tr>
    </w:tbl>
    <w:p w:rsidR="004567D6" w:rsidRDefault="004567D6" w:rsidP="00961C45">
      <w:pPr>
        <w:shd w:val="clear" w:color="FFFFFF" w:themeColor="background1" w:fill="FFFFFF" w:themeFill="background1"/>
        <w:spacing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4567D6" w:rsidRDefault="004567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7D6" w:rsidRDefault="004567D6">
      <w:pPr>
        <w:shd w:val="clear" w:color="FFFFFF" w:themeColor="background1" w:fill="FFFFFF" w:themeFill="background1"/>
        <w:spacing w:line="240" w:lineRule="auto"/>
        <w:ind w:firstLine="708"/>
        <w:contextualSpacing/>
        <w:jc w:val="right"/>
        <w:rPr>
          <w:rFonts w:ascii="Times New Roman" w:hAnsi="Times New Roman" w:cs="Times New Roman"/>
        </w:rPr>
      </w:pPr>
    </w:p>
    <w:p w:rsidR="004567D6" w:rsidRDefault="00492B61">
      <w:pPr>
        <w:widowControl w:val="0"/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2025 году 5 конкурсных проектов признаны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победителями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 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Всероссийского конкурса  лучших проектов создания комфортной городской среды в малых городах и исторических поселениях: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 Нефтеюганск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«Благоустройство площади Юбилейная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(1 этап благоустройства территории «Променад»)» (ФБ - 107156,5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 Когалым –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Этнодеревня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городе Когалыме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этап) «Сердце Севера» (ФБ - 99502,5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AF728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Лангепас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«Благоустройство центральной городской площади в городе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Лангепас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ул. Ленина (от перекрестка по ул. Мира до перекрестка по ул. Дружбы Народов) 2 этап» (ФБ - 91848,4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 Белоярский – «Набережная РЕЧНОГО ВОКЗАЛА» – колыбель города» (ФБ - 76540,4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Покачи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«Благоустройство общественного пространства «Бульвар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Юности»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ФБ - 76540,4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567D6" w:rsidRPr="00AF728D" w:rsidRDefault="00883124" w:rsidP="00AF728D">
      <w:pPr>
        <w:widowControl w:val="0"/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</w:t>
      </w:r>
      <w:r w:rsidR="00492B61">
        <w:rPr>
          <w:rFonts w:ascii="Times New Roman" w:hAnsi="Times New Roman" w:cs="Times New Roman"/>
          <w:sz w:val="28"/>
          <w:szCs w:val="28"/>
        </w:rPr>
        <w:t xml:space="preserve"> Х Всероссийском конкурсе </w:t>
      </w:r>
      <w:r w:rsidR="00492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лучших проектов создания комфортной городской среды в малых городах и исторических </w:t>
      </w:r>
      <w:proofErr w:type="gramStart"/>
      <w:r w:rsidR="00492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поселениях</w:t>
      </w:r>
      <w:r w:rsidR="00492B61">
        <w:rPr>
          <w:rFonts w:ascii="Times New Roman" w:hAnsi="Times New Roman" w:cs="Times New Roman"/>
          <w:sz w:val="28"/>
          <w:szCs w:val="28"/>
        </w:rPr>
        <w:t xml:space="preserve">  привлекло</w:t>
      </w:r>
      <w:proofErr w:type="gramEnd"/>
      <w:r w:rsidR="00492B61">
        <w:rPr>
          <w:rFonts w:ascii="Times New Roman" w:hAnsi="Times New Roman" w:cs="Times New Roman"/>
          <w:sz w:val="28"/>
          <w:szCs w:val="28"/>
        </w:rPr>
        <w:t xml:space="preserve"> в бюджет автономного округа 451,6 млн. рубл</w:t>
      </w:r>
      <w:r w:rsidR="00961C45">
        <w:rPr>
          <w:rFonts w:ascii="Times New Roman" w:hAnsi="Times New Roman" w:cs="Times New Roman"/>
          <w:sz w:val="28"/>
          <w:szCs w:val="28"/>
        </w:rPr>
        <w:t>ей средств федерального бюджета.</w:t>
      </w: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2026 году к благоустройству запланировано 73 обществен</w:t>
      </w:r>
      <w:r w:rsidR="00883124">
        <w:rPr>
          <w:rFonts w:ascii="Times New Roman" w:eastAsia="Times New Roman" w:hAnsi="Times New Roman" w:cs="Times New Roman"/>
          <w:sz w:val="28"/>
          <w:szCs w:val="28"/>
        </w:rPr>
        <w:t>ных территории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из которых: </w:t>
      </w:r>
    </w:p>
    <w:p w:rsidR="004567D6" w:rsidRDefault="00492B61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 общественных территорий,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благоустройство которых осуществляется за счет средств федерального, регионального и местных бюджетов;</w:t>
      </w:r>
    </w:p>
    <w:p w:rsidR="004567D6" w:rsidRDefault="00492B61" w:rsidP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ерриторий </w:t>
      </w:r>
      <w:r w:rsidR="00AF72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победители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549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Всероссийского конкурса лучших проектов создания комфортной городской среды в малых городах и исторических поселениях, которые благоустраиваются за счет средств федерального, регионального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естных бюджетов и внебюджетных источников;</w:t>
      </w:r>
    </w:p>
    <w:p w:rsidR="004567D6" w:rsidRDefault="00492B61" w:rsidP="00AF728D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40 территорий благоустраиваются за счет средств местных бюджетов и (или)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счет  внебюджетных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источников.</w:t>
      </w:r>
    </w:p>
    <w:p w:rsidR="004567D6" w:rsidRPr="00AF728D" w:rsidRDefault="00492B61" w:rsidP="00AF72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561"/>
        </w:tabs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</w:pP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Финансовое обеспечение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2026 год </w:t>
      </w: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составляет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2 451,5 млн рублей, </w:t>
      </w: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в том числе: 640,9 млн рублей средства федерального </w:t>
      </w:r>
      <w:proofErr w:type="gramStart"/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бюджета,   </w:t>
      </w:r>
      <w:proofErr w:type="gramEnd"/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                                      1227,5 млн рублей средства окружного бюджета.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Ежегодно автономный округ обеспечивает проведение Всероссийского голосования по отбору общественных территорий, подлежащих благоустройству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первоочередном порядке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Всероссийское голосование) и выполняет установленный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Минстроем России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 по привлечению жителей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активному участию </w:t>
      </w:r>
      <w:r>
        <w:rPr>
          <w:rFonts w:ascii="Times New Roman" w:eastAsia="Times New Roman" w:hAnsi="Times New Roman" w:cs="Times New Roman"/>
          <w:sz w:val="28"/>
          <w:szCs w:val="28"/>
        </w:rPr>
        <w:t>в отборе общественных территорий для благоустройства.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t xml:space="preserve">Применение механизма прямого участия жителей при создании общественных пространств позволяет не только обновить городскую среду, </w:t>
      </w:r>
      <w:r>
        <w:rPr>
          <w:rFonts w:ascii="Times New Roman" w:eastAsia="TimesNewRoman" w:hAnsi="Times New Roman" w:cs="Times New Roman"/>
          <w:color w:val="000000" w:themeColor="text1"/>
          <w:sz w:val="28"/>
          <w:szCs w:val="28"/>
          <w:lang w:bidi="ru-RU"/>
        </w:rPr>
        <w:lastRenderedPageBreak/>
        <w:t xml:space="preserve">но и сделать ее комфортной для проживания в муниципальных образованиях автономного округа. </w:t>
      </w:r>
    </w:p>
    <w:p w:rsidR="004567D6" w:rsidRDefault="00883124">
      <w:pPr>
        <w:shd w:val="clear" w:color="FFFFFF" w:themeColor="background1" w:fill="FFFFFF" w:themeFill="background1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2025 году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sz w:val="28"/>
          <w:szCs w:val="28"/>
        </w:rPr>
        <w:t>Всероссийском голосовании</w:t>
      </w:r>
      <w:r w:rsidR="0049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2B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приняли участие 146 267 человек </w:t>
      </w:r>
      <w:r w:rsidR="00492B61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492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муниципальных образований автономного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92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B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При установленном плановом значении 1</w:t>
      </w:r>
      <w:r w:rsidR="00492B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30 000 </w:t>
      </w:r>
      <w:r w:rsidR="00492B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голосов достижение значения показателя составляет 112,5%.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</w:t>
      </w:r>
      <w:r w:rsidR="00492B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голосовании участвовало 52 общественные территории.</w:t>
      </w:r>
    </w:p>
    <w:p w:rsidR="004567D6" w:rsidRDefault="00492B6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2026 году </w:t>
      </w:r>
      <w:r w:rsidR="00883124">
        <w:rPr>
          <w:rFonts w:ascii="Times New Roman" w:eastAsia="Times New Roman" w:hAnsi="Times New Roman" w:cs="Times New Roman"/>
          <w:sz w:val="28"/>
          <w:szCs w:val="28"/>
        </w:rPr>
        <w:t>Всероссийское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голосование по отбору общественных территорий, подлежащих благоустройству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первоочередном порядке в 2027 году, состоится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 период с 21 апреля по 12 июня</w:t>
      </w:r>
      <w:r w:rsidR="00AF728D">
        <w:rPr>
          <w:rFonts w:ascii="Times New Roman" w:hAnsi="Times New Roman" w:cs="Times New Roman"/>
          <w:color w:val="000000" w:themeColor="text1"/>
          <w:sz w:val="28"/>
          <w:szCs w:val="28"/>
        </w:rPr>
        <w:t>. В голосовании примут участие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 муниципальное образование, 62 общественные территории.</w:t>
      </w:r>
    </w:p>
    <w:p w:rsidR="004567D6" w:rsidRDefault="00492B6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План, установленный Минстрой России автономному округу для голосования за выбор территории в 2026 году, составляет 130 000 голосов.</w:t>
      </w:r>
    </w:p>
    <w:p w:rsidR="004567D6" w:rsidRDefault="004567D6">
      <w:pPr>
        <w:shd w:val="clear" w:color="FFFFFF" w:themeColor="background1" w:fill="FFFFFF" w:themeFill="background1"/>
        <w:spacing w:line="240" w:lineRule="auto"/>
        <w:contextualSpacing/>
        <w:rPr>
          <w:rFonts w:ascii="Times New Roman" w:hAnsi="Times New Roman" w:cs="Times New Roman"/>
        </w:rPr>
      </w:pPr>
    </w:p>
    <w:p w:rsidR="004567D6" w:rsidRDefault="004567D6">
      <w:pPr>
        <w:shd w:val="clear" w:color="FFFFFF" w:themeColor="background1" w:fill="FFFFFF" w:themeFill="background1"/>
        <w:spacing w:line="240" w:lineRule="auto"/>
        <w:ind w:firstLine="708"/>
        <w:contextualSpacing/>
        <w:jc w:val="right"/>
        <w:rPr>
          <w:rFonts w:ascii="Times New Roman" w:hAnsi="Times New Roman" w:cs="Times New Roman"/>
        </w:rPr>
      </w:pPr>
    </w:p>
    <w:p w:rsidR="004567D6" w:rsidRPr="00961C45" w:rsidRDefault="00492B61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961C45">
        <w:rPr>
          <w:rFonts w:ascii="Times New Roman" w:eastAsia="Times New Roman" w:hAnsi="Times New Roman" w:cs="Times New Roman"/>
          <w:i/>
          <w:sz w:val="28"/>
          <w:szCs w:val="28"/>
        </w:rPr>
        <w:t xml:space="preserve">Градостроительное обеспечение  </w:t>
      </w:r>
    </w:p>
    <w:p w:rsidR="004567D6" w:rsidRPr="00961C45" w:rsidRDefault="00492B61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961C45">
        <w:rPr>
          <w:rFonts w:ascii="Times New Roman" w:eastAsia="Times New Roman" w:hAnsi="Times New Roman" w:cs="Times New Roman"/>
          <w:i/>
          <w:sz w:val="28"/>
          <w:szCs w:val="28"/>
        </w:rPr>
        <w:t>и комплексное развитие территорий</w:t>
      </w:r>
    </w:p>
    <w:p w:rsidR="004567D6" w:rsidRDefault="004567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Основой для развития градостроительной деятельности и устойчивого развития территорий автономного округа является наличие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утвержденной  градостроительной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документации. 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 муниципальные образования автономного округа обеспечены документами территориального планирования на 100%.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2025 год рассмотрены и подготовлены 20 сводных заключений на проекты документов территориального планирования: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4-х схем территориального планирования Российской Федерации в области транспорта (в части трубопроводного транспорта), федерального транспорта (железнодорожного, воздушного, морского, внутреннего водного транспорта),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энергетики,  высшего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образования;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1-ой схемы территориального планирования субъекта Российской Федерации, имеющего общую границу с автономным округом (Свердловская область);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 документов территориального планирования муниципальных образований, в том числе: 1-ой схемы территориального планирования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Сургутского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Ханты-Мансийского автономного округа – Югры;               14-ти генеральных планов муниципальных образований автономного округа: городских округов Сургут,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Ханты-Мансийск, городских поселений Березово Березовского района,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Мортка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Луговой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района, сельских поселений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Болчары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Выкатной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Горноправдинск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Шапша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Ханты-Мансийского района,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Салым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Сингапай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Нефтеюганского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района, Солнечный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Сургутского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документации по планировке территории приняты 74 решения: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 согласовании документации по планировке территории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9 объектов федерального значения (объекты в области трубопроводного транспорта, электроэнергетики);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 утверждении 43-х проектов планировки территории и межевания по объектам регионального значения, объектам, расположенным на территориях двух и более муниципальных образований (объекты в области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нефтегазодобычи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транспортной инфраструктуры, электроэнергетики);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принятии 22 решений о разработке документации по планировке территории по объектам, расположенным на территориях двух и более муниципальных образований, объектам регионального значения.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</w:t>
      </w:r>
      <w:r>
        <w:rPr>
          <w:rFonts w:ascii="Times New Roman" w:eastAsia="Arial" w:hAnsi="Times New Roman" w:cs="Times New Roman"/>
          <w:color w:val="1A1A1A"/>
          <w:sz w:val="28"/>
          <w:szCs w:val="28"/>
        </w:rPr>
        <w:t>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«Пространственное развитие и формирование комфортной городской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среды»</w:t>
      </w:r>
      <w:r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2025 году в соответствии с заключенными соглашениями из бюджета автономного округа  предоставлена суб</w:t>
      </w:r>
      <w:r w:rsidR="00883124">
        <w:rPr>
          <w:rFonts w:ascii="Times New Roman" w:hAnsi="Times New Roman" w:cs="Times New Roman"/>
          <w:sz w:val="28"/>
          <w:szCs w:val="28"/>
        </w:rPr>
        <w:t>сидия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полномочий муниципальных образований в области градостроительной деятельности  в размере  81 957,6 т</w:t>
      </w:r>
      <w:r w:rsidR="00883124">
        <w:rPr>
          <w:rFonts w:ascii="Times New Roman" w:hAnsi="Times New Roman" w:cs="Times New Roman"/>
          <w:sz w:val="28"/>
          <w:szCs w:val="28"/>
        </w:rPr>
        <w:t>ыс. рублей.  Освоение составило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80 949,9 тыс. рублей (98,77%). Субсидия направлена на реализацию следующих мероприятий:</w:t>
      </w:r>
    </w:p>
    <w:p w:rsidR="004567D6" w:rsidRDefault="00492B6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корректировка документов территориального планирования, градостроительного зонирования, связанная с изменениями градостроительного законодательства;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документации по планировке и межеванию территории и (или) выполнение инженерных изысканий для разработки документации по планировке и межеванию территории;</w:t>
      </w:r>
    </w:p>
    <w:p w:rsidR="004567D6" w:rsidRDefault="00492B6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внесение изменений в документацию по планировке и межеванию территории и (или) выполнение инженерных изысканий для последующего внесения изменений в документацию по планировке и межеванию территории с учетом «Югорского стандарта развития территорий»;</w:t>
      </w:r>
    </w:p>
    <w:p w:rsidR="004567D6" w:rsidRDefault="00492B6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разработка, корректировка формы, атрибутивных и семантических данных пространственной (картографической) информации векторных моделей документов территориального планирования, градостроительного зонирования, документации по планировке территорий для загрузки в государственную информационную систему обеспечения градостроительной деятельности автономного округа;</w:t>
      </w:r>
    </w:p>
    <w:p w:rsidR="004567D6" w:rsidRDefault="00492B6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разработка и корректировка местных нормативов градостроительного проектирования в случае изменения региональных нормативов градостроительного проектирования и законодательства Российской Федерации, автономного округа;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подготовка, внесение изменений в документы территориального планирования и градостроительного зонирования для постановки территориальных зон, границ населенных пунктов на кадастровый учет.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2025 году внесены изменения в схему территориального планирования Ханты-Мансийского автономного округа – Югры в целях актуализации перечня планируемых к строительству, реконструкции объектов регионального 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дополнения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разделами в сфере развития туристического потенциала.</w:t>
      </w:r>
    </w:p>
    <w:p w:rsidR="004567D6" w:rsidRDefault="00492B61" w:rsidP="00771D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внесены изменения в региональные нормативы градостроительного проектирования Ханты-Мансийского автономного округа – Югры,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предусматривающие  установление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расчетных показателей количества парковочных мест в жилых зонах, в рекреационных зонах и зонах отдыха, при реализации проектов КРТ; при расчете парковок для средств индивидуальной мобильности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электроавтомобилей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Изменения утверждены постановлением Правительства автономного округа </w:t>
      </w:r>
      <w:r>
        <w:rPr>
          <w:rFonts w:ascii="Times New Roman" w:hAnsi="Times New Roman" w:cs="Times New Roman"/>
          <w:sz w:val="28"/>
          <w:szCs w:val="28"/>
        </w:rPr>
        <w:br/>
        <w:t>от 17.11.2025 № 453-п.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2019 года в автономном округе функционирует г</w:t>
      </w:r>
      <w:r>
        <w:rPr>
          <w:rFonts w:ascii="Times New Roman" w:hAnsi="Times New Roman" w:cs="Times New Roman"/>
          <w:sz w:val="28"/>
          <w:szCs w:val="28"/>
        </w:rPr>
        <w:t>осударственная информационная система обеспечения градостроительной деятельности (далее – ГИСОГД Югры). Система создана для повышения качества градостроительного планирования, ускорения административных процедур, улучшения контроля за градостроительной деятельностью, повышения доступности информации в области градостроительной деятельности.</w:t>
      </w:r>
    </w:p>
    <w:p w:rsidR="004567D6" w:rsidRDefault="00492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ГИСОГД Югры создано 1796 учетных записей, из них более 500 активных пользователей. </w:t>
      </w:r>
    </w:p>
    <w:p w:rsidR="004567D6" w:rsidRDefault="00492B6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Размещено более 166 тысяч документов.</w:t>
      </w:r>
    </w:p>
    <w:p w:rsidR="004567D6" w:rsidRDefault="00492B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ГИСОГД Югры осуществляется предоставление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16 государственных и муниципальных услуг в сфере строительства и градостроительной деятельности. Предоставление услуг осуществляется в элек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тронном виде. </w:t>
      </w:r>
    </w:p>
    <w:p w:rsidR="004567D6" w:rsidRDefault="00492B61" w:rsidP="00AF72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Всего в ГИСОГД Югры оказано государственных и муниципальных услуг (далее – услуги) - 114 588, в том числе в 2025 году - 20 298.</w:t>
      </w:r>
    </w:p>
    <w:p w:rsidR="004567D6" w:rsidRDefault="00492B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Наиболее востребованными услугами являются:</w:t>
      </w:r>
    </w:p>
    <w:p w:rsidR="004567D6" w:rsidRDefault="00492B61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выдача градостроительного плана земельного участка - 4691;</w:t>
      </w:r>
    </w:p>
    <w:p w:rsidR="004567D6" w:rsidRDefault="00492B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выдача разрешения на строительство объекта капитального строительства - 3623;</w:t>
      </w:r>
    </w:p>
    <w:p w:rsidR="004567D6" w:rsidRDefault="00492B61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выдача разрешения на ввод объекта в эксплуатацию - 1060;</w:t>
      </w:r>
    </w:p>
    <w:p w:rsidR="004567D6" w:rsidRDefault="00492B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присвоение адреса объекту адресации, изменение и аннулирование такого адреса - 4937;</w:t>
      </w:r>
    </w:p>
    <w:p w:rsidR="004567D6" w:rsidRDefault="00492B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направление уведомления о планируемом сносе или о завершении сноса объекта капитального строительства - 1383;</w:t>
      </w:r>
    </w:p>
    <w:p w:rsidR="004567D6" w:rsidRDefault="00492B61" w:rsidP="00771D0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подготовка и утверждение документации по планировке территории - 1292.</w:t>
      </w:r>
    </w:p>
    <w:p w:rsidR="004567D6" w:rsidRDefault="00492B61">
      <w:pPr>
        <w:pStyle w:val="af8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строительства и архитектуры автономного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своих полномочий оказывает 2 государственные услуги в области строительства: </w:t>
      </w:r>
    </w:p>
    <w:p w:rsidR="004567D6" w:rsidRDefault="00492B61">
      <w:pPr>
        <w:pStyle w:val="af8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выдача разрешения на строительство в случае, если строительство, реконструкция объекта капитального строительства планируется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осуществлять на территориях двух и более муниципальных образований (муниципальных районов, городских округов); </w:t>
      </w:r>
    </w:p>
    <w:p w:rsidR="004567D6" w:rsidRDefault="00492B61">
      <w:pPr>
        <w:pStyle w:val="af8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разрешения на ввод объекта в эксплуатацию.</w:t>
      </w:r>
    </w:p>
    <w:p w:rsidR="004567D6" w:rsidRDefault="00492B61">
      <w:pPr>
        <w:pStyle w:val="af8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2025 год Департаментом оказано 1023 государственных услуги по выдаче разр</w:t>
      </w:r>
      <w:r w:rsidR="00AF72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ешительной документации, из них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выдача разрешения на строительство объектов капитального строительства - 883, выдача разрешений на ввод объектов в эксплуатацию - 140.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Отмечу, что функционал ГИСОГД Югры в 2025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расширен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следующими возможностями и модулями: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«Информационная панель руководителя»;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«Комплексное развитие территорий»;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приобретена лицензия на «Портал взаимодействия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организациями»;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передачи информационной модели объекта капитального строительства в ГИСОГД через публичный Портал;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передачи сведений в ЕГРН о территориальных зонах;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передачи сведений в ЕГРН проектов межевания территории;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получения сведений по территориальным зонам;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интеграции с ЕПГУ по услуге «Согласование архитектурно-градостроительного облика объекта»;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мониторингом интеграций с внешними информационными системами».</w:t>
      </w:r>
    </w:p>
    <w:p w:rsidR="004567D6" w:rsidRDefault="00492B61" w:rsidP="00771D0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надлежащего исполнения Перечня поручений Президента Российской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Style w:val="af2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о завершении работ по описанию местоположения границ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населенных пунктов, территориальных зон </w:t>
      </w:r>
      <w:r>
        <w:rPr>
          <w:rFonts w:ascii="Times New Roman" w:hAnsi="Times New Roman" w:cs="Times New Roman"/>
          <w:sz w:val="28"/>
          <w:szCs w:val="28"/>
        </w:rPr>
        <w:br/>
        <w:t>и направлении сведений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местоположении таких границ для внесения </w:t>
      </w:r>
      <w:r>
        <w:rPr>
          <w:rFonts w:ascii="Times New Roman" w:hAnsi="Times New Roman" w:cs="Times New Roman"/>
          <w:sz w:val="28"/>
          <w:szCs w:val="28"/>
        </w:rPr>
        <w:br/>
        <w:t>в Единый государственный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 недвижимости (далее – ЕГРН):</w:t>
      </w:r>
    </w:p>
    <w:p w:rsidR="004567D6" w:rsidRDefault="00AF72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состоянию на 1 января </w:t>
      </w:r>
      <w:r w:rsidR="00492B61">
        <w:rPr>
          <w:rFonts w:ascii="Times New Roman" w:hAnsi="Times New Roman" w:cs="Times New Roman"/>
          <w:color w:val="000000" w:themeColor="text1"/>
          <w:sz w:val="28"/>
          <w:szCs w:val="28"/>
        </w:rPr>
        <w:t>2026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49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ЕГРН внесены сведения о </w:t>
      </w:r>
      <w:r w:rsidR="00492B61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границах:</w:t>
      </w:r>
    </w:p>
    <w:p w:rsidR="004567D6" w:rsidRDefault="00492B6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105 муниципальных образований автономного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составляет 100% от общего количества муниципальных образований автономного округа;</w:t>
      </w:r>
    </w:p>
    <w:p w:rsidR="004567D6" w:rsidRDefault="00492B61">
      <w:pPr>
        <w:spacing w:line="240" w:lineRule="auto"/>
        <w:ind w:firstLine="709"/>
        <w:contextualSpacing/>
        <w:jc w:val="both"/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188  населенных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193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(97,4%).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внесены сведения в ЕГРН о границах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населенных пунктов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Октябрьском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районе (п. Малый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Атлым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п. Заречный, п. Комсомольский, с. Большие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Леуши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п.Горнореченск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), сведения о границах данных населенных пунктов планируется внести до 01.07.2026;</w:t>
      </w:r>
    </w:p>
    <w:p w:rsidR="004567D6" w:rsidRDefault="00492B6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4151 </w:t>
      </w:r>
      <w:r>
        <w:rPr>
          <w:rFonts w:ascii="Times New Roman" w:hAnsi="Times New Roman" w:cs="Times New Roman"/>
          <w:sz w:val="28"/>
          <w:szCs w:val="28"/>
          <w:highlight w:val="white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ерриториальной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зоны  (</w:t>
      </w:r>
      <w:proofErr w:type="gramEnd"/>
      <w:r>
        <w:rPr>
          <w:rFonts w:ascii="Times New Roman" w:hAnsi="Times New Roman" w:cs="Times New Roman"/>
          <w:sz w:val="28"/>
          <w:szCs w:val="28"/>
        </w:rPr>
        <w:t>100%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4567D6" w:rsidRDefault="004567D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F728D" w:rsidRDefault="00AF728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F728D" w:rsidRDefault="00AF728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F728D" w:rsidRDefault="00AF728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7D6" w:rsidRDefault="00492B61" w:rsidP="00AF728D">
      <w:pPr>
        <w:tabs>
          <w:tab w:val="left" w:pos="7117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728D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Комплексное развитие территорий</w:t>
      </w:r>
    </w:p>
    <w:p w:rsidR="00AF728D" w:rsidRPr="00AF728D" w:rsidRDefault="00AF728D" w:rsidP="00AF728D">
      <w:pPr>
        <w:tabs>
          <w:tab w:val="left" w:pos="7117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67D6" w:rsidRDefault="00492B61">
      <w:pPr>
        <w:tabs>
          <w:tab w:val="left" w:pos="71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Комплексное развитие территории (далее – КРТ) ключевой механизм градостроительного развития, направленный на комплексное преобразование городских пространств с целью повышения качества жизни населения, стимулирования экономического роста и создания сбалансированной городской среды. </w:t>
      </w:r>
    </w:p>
    <w:p w:rsidR="004567D6" w:rsidRDefault="00771D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117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Реализация проектов</w:t>
      </w:r>
      <w:r w:rsidR="00492B61">
        <w:rPr>
          <w:rFonts w:ascii="Times New Roman" w:hAnsi="Times New Roman" w:cs="Times New Roman"/>
          <w:sz w:val="28"/>
          <w:szCs w:val="28"/>
        </w:rPr>
        <w:t xml:space="preserve"> включает не только жилищное строительство, но и переселение жителей из аварийного жилищного фонда, создание образовательных, медицинских, спортивных, общественно-деловых объектов, создание транспортной, инженерной инфраструктуры, а </w:t>
      </w:r>
      <w:proofErr w:type="gramStart"/>
      <w:r w:rsidR="00492B61">
        <w:rPr>
          <w:rFonts w:ascii="Times New Roman" w:hAnsi="Times New Roman" w:cs="Times New Roman"/>
          <w:sz w:val="28"/>
          <w:szCs w:val="28"/>
        </w:rPr>
        <w:t>также  благоустройство</w:t>
      </w:r>
      <w:proofErr w:type="gramEnd"/>
      <w:r w:rsidR="00492B61">
        <w:rPr>
          <w:rFonts w:ascii="Times New Roman" w:hAnsi="Times New Roman" w:cs="Times New Roman"/>
          <w:sz w:val="28"/>
          <w:szCs w:val="28"/>
        </w:rPr>
        <w:t xml:space="preserve"> территории. 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hi-IN"/>
        </w:rPr>
        <w:t xml:space="preserve">Совместно с органами местного самоуправления реализуются проекты КРТ, ведется работа по мониторингу бесхозных, неэффективно используемых территорий и объектов капитального строительства для вовлечения их в хозяйственный оборот, в первую очередь, под проекты КРТ. </w:t>
      </w:r>
    </w:p>
    <w:p w:rsidR="004567D6" w:rsidRDefault="00492B61" w:rsidP="00AF72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hi-IN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автономного округа в 15 муниципальных образованиях под КРТ определены 49 территорий общей площадью 478,5 га с градостроительным потенциалом жилой площади 3,73 млн кв. м. 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автономного округа приняты 29 решений о КРТ общей площадью 260,9 га с градостроительным потенциалом 2,442 млн кв. </w:t>
      </w:r>
      <w:proofErr w:type="gramStart"/>
      <w:r>
        <w:rPr>
          <w:rFonts w:ascii="Times New Roman" w:hAnsi="Times New Roman" w:cs="Times New Roman"/>
          <w:sz w:val="28"/>
          <w:szCs w:val="28"/>
        </w:rPr>
        <w:t>м,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том числе  в 2025 году  в 8 муниципальных образованиях 14 решений о КРТ: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г.Нижневартовск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(1), Ханты-Мансийский район (1), Березовский район(1),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г.Когалым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г.Нягань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(3) приняты .</w:t>
      </w:r>
    </w:p>
    <w:p w:rsidR="004567D6" w:rsidRPr="00771D00" w:rsidRDefault="00492B61" w:rsidP="00771D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Заключено 20 договоров о КРТ общей площадью 165,3 га с градостроительным потенциалом 1,758 млн кв. м., в том числе в 2025 году заключено 5 договоров о КРТ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г.Нижневартовск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</w:t>
      </w:r>
      <w:r w:rsidR="00961C45">
        <w:rPr>
          <w:rFonts w:ascii="Times New Roman" w:hAnsi="Times New Roman" w:cs="Times New Roman"/>
          <w:sz w:val="28"/>
          <w:szCs w:val="28"/>
        </w:rPr>
        <w:t>ягань</w:t>
      </w:r>
      <w:proofErr w:type="spellEnd"/>
      <w:r w:rsidR="00961C45">
        <w:rPr>
          <w:rFonts w:ascii="Times New Roman" w:hAnsi="Times New Roman" w:cs="Times New Roman"/>
          <w:sz w:val="28"/>
          <w:szCs w:val="28"/>
        </w:rPr>
        <w:t>, Ханты-Мансийский район).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hi-IN"/>
        </w:rPr>
        <w:t xml:space="preserve"> целях реализации единой градостроительной политики, формированию решений исполнительных органов </w:t>
      </w:r>
      <w:r>
        <w:rPr>
          <w:rFonts w:ascii="Times New Roman" w:hAnsi="Times New Roman" w:cs="Times New Roman"/>
          <w:iCs/>
          <w:sz w:val="28"/>
          <w:szCs w:val="28"/>
        </w:rPr>
        <w:t>автономного округа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hi-IN"/>
        </w:rPr>
        <w:t>, органов местного самоуправления муниципальных образований автономного округа в сфере архитектуры, градостроительства, пространственного и комплексного развития территорий и агломераций для обеспечения благоприятных условий жизнедеятельности и комфортного проживания в 2024 году создан Градостроительный совет при Губернаторе автономного округа.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hi-IN"/>
        </w:rPr>
        <w:tab/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период действия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 совета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автономного округа   </w:t>
      </w:r>
      <w:r>
        <w:rPr>
          <w:rFonts w:ascii="Times New Roman" w:eastAsia="Times New Roman" w:hAnsi="Times New Roman" w:cs="Times New Roman"/>
          <w:sz w:val="28"/>
          <w:szCs w:val="28"/>
        </w:rPr>
        <w:t>одобрено 20</w:t>
      </w:r>
      <w:r>
        <w:rPr>
          <w:rFonts w:ascii="Times New Roman" w:hAnsi="Times New Roman" w:cs="Times New Roman"/>
          <w:sz w:val="28"/>
          <w:szCs w:val="28"/>
        </w:rPr>
        <w:t xml:space="preserve"> проектов КРТ: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г.Нижневартовск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г.Нягань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(4), Березовский район  (1), Ханты-Мансийский район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г.Когалым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г.Радужный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(1), Октябрьский район (1). 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2025 году </w:t>
      </w:r>
      <w:r>
        <w:rPr>
          <w:rFonts w:ascii="Times New Roman" w:eastAsia="Times New Roman" w:hAnsi="Times New Roman" w:cs="Times New Roman"/>
          <w:sz w:val="28"/>
          <w:szCs w:val="28"/>
        </w:rPr>
        <w:t>одобрено 14</w:t>
      </w:r>
      <w:r>
        <w:rPr>
          <w:rFonts w:ascii="Times New Roman" w:hAnsi="Times New Roman" w:cs="Times New Roman"/>
          <w:sz w:val="28"/>
          <w:szCs w:val="28"/>
        </w:rPr>
        <w:t xml:space="preserve"> проектов КРТ: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г.Нижневартовск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г.Нягань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3), Березовский район  (1), Ханты-Мансийский район (1),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г.Когалым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(1).</w:t>
      </w:r>
    </w:p>
    <w:p w:rsidR="004567D6" w:rsidRDefault="00492B61" w:rsidP="00771D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проектов КРТ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планируется  расселение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жилья, из аварийного, непригодного жилищного фонда,  создание объектов социальной инфраструктуры, общественных пространств. </w:t>
      </w:r>
    </w:p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Для осуществления контроля и мониторинга проектов КРТ внедрен модуль «Комплексное развитие территории», позволяющий органам местного самоуправления и исполнительным органам государственной власти автономного округа осуществлять оперативный мониторинг реализации проектов, автоматизировать сбор и анализ данных о развитии территорий, формировать сводную отчётность в режиме реального времени, интеграцию с информационными системами для межведомственного взаимодействия.</w:t>
      </w:r>
    </w:p>
    <w:sectPr w:rsidR="004567D6">
      <w:headerReference w:type="default" r:id="rId7"/>
      <w:pgSz w:w="11906" w:h="16838"/>
      <w:pgMar w:top="1134" w:right="113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185" w:rsidRDefault="00805185">
      <w:pPr>
        <w:spacing w:after="0" w:line="240" w:lineRule="auto"/>
      </w:pPr>
      <w:r>
        <w:separator/>
      </w:r>
    </w:p>
  </w:endnote>
  <w:endnote w:type="continuationSeparator" w:id="0">
    <w:p w:rsidR="00805185" w:rsidRDefault="0080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185" w:rsidRDefault="00805185">
      <w:pPr>
        <w:spacing w:after="0" w:line="240" w:lineRule="auto"/>
      </w:pPr>
      <w:r>
        <w:separator/>
      </w:r>
    </w:p>
  </w:footnote>
  <w:footnote w:type="continuationSeparator" w:id="0">
    <w:p w:rsidR="00805185" w:rsidRDefault="00805185">
      <w:pPr>
        <w:spacing w:after="0" w:line="240" w:lineRule="auto"/>
      </w:pPr>
      <w:r>
        <w:continuationSeparator/>
      </w:r>
    </w:p>
  </w:footnote>
  <w:footnote w:id="1"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2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постановление Правительства Ханты-Мансийского автономного округа – Югры от 10.11.2023 № 553-п </w:t>
      </w:r>
      <w:r>
        <w:rPr>
          <w:rFonts w:ascii="Times New Roman" w:hAnsi="Times New Roman" w:cs="Times New Roman"/>
          <w:sz w:val="20"/>
          <w:szCs w:val="20"/>
        </w:rPr>
        <w:br/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>О государственной программе Ханты-Мансийского автономного округа – Югры «Пространственное развитие и формирование комфортной городской среды»</w:t>
      </w:r>
    </w:p>
  </w:footnote>
  <w:footnote w:id="2">
    <w:p w:rsidR="004567D6" w:rsidRDefault="00492B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постановление Правительства Ханты-Мансийского автономного округа – Югры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10.11.2023 № 553-п </w:t>
      </w:r>
      <w:r>
        <w:rPr>
          <w:rFonts w:ascii="Times New Roman" w:hAnsi="Times New Roman" w:cs="Times New Roman"/>
          <w:sz w:val="20"/>
          <w:szCs w:val="20"/>
        </w:rPr>
        <w:br/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>О государственной программе Ханты-Мансийского автономного округа – Югры «Пространственное развитие и формирование комфортной городской среды»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»</w:t>
      </w:r>
    </w:p>
    <w:p w:rsidR="004567D6" w:rsidRDefault="004567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</w:pPr>
    </w:p>
    <w:p w:rsidR="004567D6" w:rsidRDefault="00492B61">
      <w:pPr>
        <w:pStyle w:val="af0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</w:t>
      </w:r>
    </w:p>
  </w:footnote>
  <w:footnote w:id="3">
    <w:p w:rsidR="004567D6" w:rsidRDefault="00492B61">
      <w:pPr>
        <w:pStyle w:val="af0"/>
        <w:jc w:val="both"/>
      </w:pPr>
      <w:r>
        <w:rPr>
          <w:rStyle w:val="af2"/>
        </w:rPr>
        <w:footnoteRef/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у</w:t>
      </w:r>
      <w:r>
        <w:rPr>
          <w:rFonts w:ascii="Times New Roman" w:hAnsi="Times New Roman" w:cs="Times New Roman"/>
        </w:rPr>
        <w:t xml:space="preserve">твержденный Президентом Российской Федерации от 11.08.2022 № Пр-1424 Перечень поручений по вопросам реализации государственной программы "Национальная система пространственных данных"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D6" w:rsidRDefault="00492B61">
    <w:pPr>
      <w:pStyle w:val="a9"/>
      <w:jc w:val="center"/>
      <w:rPr>
        <w:rFonts w:ascii="Times New Roman" w:hAnsi="Times New Roman" w:cs="Times New Roman"/>
      </w:rPr>
    </w:pPr>
    <w:r>
      <w:fldChar w:fldCharType="begin"/>
    </w:r>
    <w:r>
      <w:instrText>PAGE \* MERGEFORMAT</w:instrText>
    </w:r>
    <w:r>
      <w:fldChar w:fldCharType="separate"/>
    </w:r>
    <w:r w:rsidR="00883124">
      <w:rPr>
        <w:noProof/>
      </w:rPr>
      <w:t>9</w:t>
    </w:r>
    <w:r>
      <w:fldChar w:fldCharType="end"/>
    </w:r>
  </w:p>
  <w:p w:rsidR="004567D6" w:rsidRDefault="004567D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073E"/>
    <w:multiLevelType w:val="hybridMultilevel"/>
    <w:tmpl w:val="21C4D22A"/>
    <w:lvl w:ilvl="0" w:tplc="4C887B62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FA7AC6A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0882DD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06C568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1C0B5F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A386BF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E68CB7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A00983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5C2D06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1C004D"/>
    <w:multiLevelType w:val="hybridMultilevel"/>
    <w:tmpl w:val="6A0CDFA4"/>
    <w:lvl w:ilvl="0" w:tplc="3438D320">
      <w:start w:val="1"/>
      <w:numFmt w:val="decimal"/>
      <w:lvlText w:val="%1)"/>
      <w:lvlJc w:val="right"/>
      <w:pPr>
        <w:ind w:left="720" w:hanging="360"/>
      </w:pPr>
    </w:lvl>
    <w:lvl w:ilvl="1" w:tplc="1944A38A">
      <w:start w:val="1"/>
      <w:numFmt w:val="lowerLetter"/>
      <w:lvlText w:val="%2."/>
      <w:lvlJc w:val="left"/>
      <w:pPr>
        <w:ind w:left="1440" w:hanging="360"/>
      </w:pPr>
    </w:lvl>
    <w:lvl w:ilvl="2" w:tplc="5EDA4E9C">
      <w:start w:val="1"/>
      <w:numFmt w:val="lowerRoman"/>
      <w:lvlText w:val="%3."/>
      <w:lvlJc w:val="right"/>
      <w:pPr>
        <w:ind w:left="2160" w:hanging="180"/>
      </w:pPr>
    </w:lvl>
    <w:lvl w:ilvl="3" w:tplc="0B04D22E">
      <w:start w:val="1"/>
      <w:numFmt w:val="decimal"/>
      <w:lvlText w:val="%4."/>
      <w:lvlJc w:val="left"/>
      <w:pPr>
        <w:ind w:left="2880" w:hanging="360"/>
      </w:pPr>
    </w:lvl>
    <w:lvl w:ilvl="4" w:tplc="A45CE5B6">
      <w:start w:val="1"/>
      <w:numFmt w:val="lowerLetter"/>
      <w:lvlText w:val="%5."/>
      <w:lvlJc w:val="left"/>
      <w:pPr>
        <w:ind w:left="3600" w:hanging="360"/>
      </w:pPr>
    </w:lvl>
    <w:lvl w:ilvl="5" w:tplc="3E72EE4A">
      <w:start w:val="1"/>
      <w:numFmt w:val="lowerRoman"/>
      <w:lvlText w:val="%6."/>
      <w:lvlJc w:val="right"/>
      <w:pPr>
        <w:ind w:left="4320" w:hanging="180"/>
      </w:pPr>
    </w:lvl>
    <w:lvl w:ilvl="6" w:tplc="3AFA1138">
      <w:start w:val="1"/>
      <w:numFmt w:val="decimal"/>
      <w:lvlText w:val="%7."/>
      <w:lvlJc w:val="left"/>
      <w:pPr>
        <w:ind w:left="5040" w:hanging="360"/>
      </w:pPr>
    </w:lvl>
    <w:lvl w:ilvl="7" w:tplc="06BEE148">
      <w:start w:val="1"/>
      <w:numFmt w:val="lowerLetter"/>
      <w:lvlText w:val="%8."/>
      <w:lvlJc w:val="left"/>
      <w:pPr>
        <w:ind w:left="5760" w:hanging="360"/>
      </w:pPr>
    </w:lvl>
    <w:lvl w:ilvl="8" w:tplc="3A52D0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A3D48"/>
    <w:multiLevelType w:val="hybridMultilevel"/>
    <w:tmpl w:val="7436C08C"/>
    <w:lvl w:ilvl="0" w:tplc="2DAEF51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7E0E9F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06EB51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1E8DCE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68C68C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E0E1D9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A080DD3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B46421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C9CDDE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CB0611A"/>
    <w:multiLevelType w:val="hybridMultilevel"/>
    <w:tmpl w:val="F0EAC96C"/>
    <w:lvl w:ilvl="0" w:tplc="E554849C">
      <w:start w:val="1"/>
      <w:numFmt w:val="bullet"/>
      <w:lvlText w:val="–"/>
      <w:lvlJc w:val="left"/>
      <w:pPr>
        <w:ind w:left="1276" w:hanging="360"/>
      </w:pPr>
      <w:rPr>
        <w:rFonts w:ascii="Liberation Sans" w:eastAsia="Liberation Sans" w:hAnsi="Liberation Sans" w:cs="Liberation Sans" w:hint="default"/>
      </w:rPr>
    </w:lvl>
    <w:lvl w:ilvl="1" w:tplc="C2EA0E0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DC600AF4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6EC9F0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84F29A8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73BC89C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E3EC56C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32FC67B0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661EFE2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6666E99"/>
    <w:multiLevelType w:val="hybridMultilevel"/>
    <w:tmpl w:val="5E6CE6F2"/>
    <w:lvl w:ilvl="0" w:tplc="641017E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22222"/>
        <w:spacing w:val="-5"/>
      </w:rPr>
    </w:lvl>
    <w:lvl w:ilvl="1" w:tplc="EEBC291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22222"/>
        <w:spacing w:val="-5"/>
      </w:rPr>
    </w:lvl>
    <w:lvl w:ilvl="2" w:tplc="EF44BDC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22222"/>
        <w:spacing w:val="-5"/>
      </w:rPr>
    </w:lvl>
    <w:lvl w:ilvl="3" w:tplc="A1B88F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22222"/>
        <w:spacing w:val="-5"/>
      </w:rPr>
    </w:lvl>
    <w:lvl w:ilvl="4" w:tplc="791EEA4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22222"/>
        <w:spacing w:val="-5"/>
      </w:rPr>
    </w:lvl>
    <w:lvl w:ilvl="5" w:tplc="4378B17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22222"/>
        <w:spacing w:val="-5"/>
      </w:rPr>
    </w:lvl>
    <w:lvl w:ilvl="6" w:tplc="705A86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22222"/>
        <w:spacing w:val="-5"/>
      </w:rPr>
    </w:lvl>
    <w:lvl w:ilvl="7" w:tplc="D44CE67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22222"/>
        <w:spacing w:val="-5"/>
      </w:rPr>
    </w:lvl>
    <w:lvl w:ilvl="8" w:tplc="19981E3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22222"/>
        <w:spacing w:val="-5"/>
      </w:rPr>
    </w:lvl>
  </w:abstractNum>
  <w:abstractNum w:abstractNumId="5" w15:restartNumberingAfterBreak="0">
    <w:nsid w:val="18FB0B57"/>
    <w:multiLevelType w:val="hybridMultilevel"/>
    <w:tmpl w:val="8480832A"/>
    <w:lvl w:ilvl="0" w:tplc="7AF0C614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5FB4D9C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670955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97E717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F3C338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AFC6B7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6BE6E2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C4A437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14CE53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791151B"/>
    <w:multiLevelType w:val="hybridMultilevel"/>
    <w:tmpl w:val="A6FED368"/>
    <w:lvl w:ilvl="0" w:tplc="D8E6716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pacing w:val="-5"/>
      </w:rPr>
    </w:lvl>
    <w:lvl w:ilvl="1" w:tplc="E460C0F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pacing w:val="-5"/>
      </w:rPr>
    </w:lvl>
    <w:lvl w:ilvl="2" w:tplc="35E05A3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pacing w:val="-5"/>
      </w:rPr>
    </w:lvl>
    <w:lvl w:ilvl="3" w:tplc="D0944E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pacing w:val="-5"/>
      </w:rPr>
    </w:lvl>
    <w:lvl w:ilvl="4" w:tplc="37062E4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pacing w:val="-5"/>
      </w:rPr>
    </w:lvl>
    <w:lvl w:ilvl="5" w:tplc="4BC411E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pacing w:val="-5"/>
      </w:rPr>
    </w:lvl>
    <w:lvl w:ilvl="6" w:tplc="E8A244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pacing w:val="-5"/>
      </w:rPr>
    </w:lvl>
    <w:lvl w:ilvl="7" w:tplc="A2FC18E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pacing w:val="-5"/>
      </w:rPr>
    </w:lvl>
    <w:lvl w:ilvl="8" w:tplc="8E9A47D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pacing w:val="-5"/>
      </w:rPr>
    </w:lvl>
  </w:abstractNum>
  <w:abstractNum w:abstractNumId="7" w15:restartNumberingAfterBreak="0">
    <w:nsid w:val="2D34555A"/>
    <w:multiLevelType w:val="hybridMultilevel"/>
    <w:tmpl w:val="60D67A28"/>
    <w:lvl w:ilvl="0" w:tplc="AD0E947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0C2F0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35A28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878E05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CCBC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C20E9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60090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008B9B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EF6BB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73564B"/>
    <w:multiLevelType w:val="hybridMultilevel"/>
    <w:tmpl w:val="9EF49BF6"/>
    <w:lvl w:ilvl="0" w:tplc="9B582378">
      <w:start w:val="1"/>
      <w:numFmt w:val="decimal"/>
      <w:lvlText w:val="%1."/>
      <w:lvlJc w:val="left"/>
      <w:pPr>
        <w:ind w:left="1418" w:hanging="360"/>
      </w:pPr>
      <w:rPr>
        <w:i/>
        <w:u w:val="single"/>
      </w:rPr>
    </w:lvl>
    <w:lvl w:ilvl="1" w:tplc="061EE5C4">
      <w:start w:val="1"/>
      <w:numFmt w:val="lowerLetter"/>
      <w:lvlText w:val="%2."/>
      <w:lvlJc w:val="left"/>
      <w:pPr>
        <w:ind w:left="2138" w:hanging="360"/>
      </w:pPr>
    </w:lvl>
    <w:lvl w:ilvl="2" w:tplc="48E4B2F6">
      <w:start w:val="1"/>
      <w:numFmt w:val="lowerRoman"/>
      <w:lvlText w:val="%3."/>
      <w:lvlJc w:val="right"/>
      <w:pPr>
        <w:ind w:left="2858" w:hanging="180"/>
      </w:pPr>
    </w:lvl>
    <w:lvl w:ilvl="3" w:tplc="F6A6F87A">
      <w:start w:val="1"/>
      <w:numFmt w:val="decimal"/>
      <w:lvlText w:val="%4."/>
      <w:lvlJc w:val="left"/>
      <w:pPr>
        <w:ind w:left="3578" w:hanging="360"/>
      </w:pPr>
    </w:lvl>
    <w:lvl w:ilvl="4" w:tplc="2C90DC42">
      <w:start w:val="1"/>
      <w:numFmt w:val="lowerLetter"/>
      <w:lvlText w:val="%5."/>
      <w:lvlJc w:val="left"/>
      <w:pPr>
        <w:ind w:left="4298" w:hanging="360"/>
      </w:pPr>
    </w:lvl>
    <w:lvl w:ilvl="5" w:tplc="74D47E20">
      <w:start w:val="1"/>
      <w:numFmt w:val="lowerRoman"/>
      <w:lvlText w:val="%6."/>
      <w:lvlJc w:val="right"/>
      <w:pPr>
        <w:ind w:left="5018" w:hanging="180"/>
      </w:pPr>
    </w:lvl>
    <w:lvl w:ilvl="6" w:tplc="327AEC1C">
      <w:start w:val="1"/>
      <w:numFmt w:val="decimal"/>
      <w:lvlText w:val="%7."/>
      <w:lvlJc w:val="left"/>
      <w:pPr>
        <w:ind w:left="5738" w:hanging="360"/>
      </w:pPr>
    </w:lvl>
    <w:lvl w:ilvl="7" w:tplc="817E2DD4">
      <w:start w:val="1"/>
      <w:numFmt w:val="lowerLetter"/>
      <w:lvlText w:val="%8."/>
      <w:lvlJc w:val="left"/>
      <w:pPr>
        <w:ind w:left="6458" w:hanging="360"/>
      </w:pPr>
    </w:lvl>
    <w:lvl w:ilvl="8" w:tplc="847C0D50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374B0660"/>
    <w:multiLevelType w:val="hybridMultilevel"/>
    <w:tmpl w:val="9A66A12E"/>
    <w:lvl w:ilvl="0" w:tplc="F80A246A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7F5A1F5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77892E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578ADF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0FE50E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BB65BE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B20BA5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E781E2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CCA5E4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7F27F9C"/>
    <w:multiLevelType w:val="hybridMultilevel"/>
    <w:tmpl w:val="AC82A5F6"/>
    <w:lvl w:ilvl="0" w:tplc="5CB0516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869EC95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DFEAE1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68AEF0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9CEDDC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9367F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490248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CE06C5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702B11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86C41EB"/>
    <w:multiLevelType w:val="hybridMultilevel"/>
    <w:tmpl w:val="20DE25B0"/>
    <w:lvl w:ilvl="0" w:tplc="18B669AC">
      <w:start w:val="1"/>
      <w:numFmt w:val="decimal"/>
      <w:lvlText w:val="%1."/>
      <w:lvlJc w:val="left"/>
    </w:lvl>
    <w:lvl w:ilvl="1" w:tplc="7E54D702">
      <w:start w:val="1"/>
      <w:numFmt w:val="lowerLetter"/>
      <w:lvlText w:val="%2."/>
      <w:lvlJc w:val="left"/>
      <w:pPr>
        <w:ind w:left="1440" w:hanging="360"/>
      </w:pPr>
    </w:lvl>
    <w:lvl w:ilvl="2" w:tplc="1380969A">
      <w:start w:val="1"/>
      <w:numFmt w:val="lowerRoman"/>
      <w:lvlText w:val="%3."/>
      <w:lvlJc w:val="right"/>
      <w:pPr>
        <w:ind w:left="2160" w:hanging="180"/>
      </w:pPr>
    </w:lvl>
    <w:lvl w:ilvl="3" w:tplc="39EEBB9A">
      <w:start w:val="1"/>
      <w:numFmt w:val="decimal"/>
      <w:lvlText w:val="%4."/>
      <w:lvlJc w:val="left"/>
      <w:pPr>
        <w:ind w:left="2880" w:hanging="360"/>
      </w:pPr>
    </w:lvl>
    <w:lvl w:ilvl="4" w:tplc="AFD4CCFC">
      <w:start w:val="1"/>
      <w:numFmt w:val="lowerLetter"/>
      <w:lvlText w:val="%5."/>
      <w:lvlJc w:val="left"/>
      <w:pPr>
        <w:ind w:left="3600" w:hanging="360"/>
      </w:pPr>
    </w:lvl>
    <w:lvl w:ilvl="5" w:tplc="8BD87CA4">
      <w:start w:val="1"/>
      <w:numFmt w:val="lowerRoman"/>
      <w:lvlText w:val="%6."/>
      <w:lvlJc w:val="right"/>
      <w:pPr>
        <w:ind w:left="4320" w:hanging="180"/>
      </w:pPr>
    </w:lvl>
    <w:lvl w:ilvl="6" w:tplc="125E0340">
      <w:start w:val="1"/>
      <w:numFmt w:val="decimal"/>
      <w:lvlText w:val="%7."/>
      <w:lvlJc w:val="left"/>
      <w:pPr>
        <w:ind w:left="5040" w:hanging="360"/>
      </w:pPr>
    </w:lvl>
    <w:lvl w:ilvl="7" w:tplc="2CC4A48A">
      <w:start w:val="1"/>
      <w:numFmt w:val="lowerLetter"/>
      <w:lvlText w:val="%8."/>
      <w:lvlJc w:val="left"/>
      <w:pPr>
        <w:ind w:left="5760" w:hanging="360"/>
      </w:pPr>
    </w:lvl>
    <w:lvl w:ilvl="8" w:tplc="EF7C03C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21ABE"/>
    <w:multiLevelType w:val="hybridMultilevel"/>
    <w:tmpl w:val="47E0E834"/>
    <w:lvl w:ilvl="0" w:tplc="D5001320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 w:hint="default"/>
      </w:rPr>
    </w:lvl>
    <w:lvl w:ilvl="1" w:tplc="065EB55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8C683A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2AE8FF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69089A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1F9C116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F6E647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5D6229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3C6ACF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D39744A"/>
    <w:multiLevelType w:val="hybridMultilevel"/>
    <w:tmpl w:val="1624C7E8"/>
    <w:lvl w:ilvl="0" w:tplc="A328AAF2">
      <w:start w:val="1"/>
      <w:numFmt w:val="bullet"/>
      <w:lvlText w:val="·"/>
      <w:lvlJc w:val="left"/>
      <w:pPr>
        <w:ind w:left="2126" w:hanging="360"/>
      </w:pPr>
      <w:rPr>
        <w:rFonts w:ascii="Symbol" w:eastAsia="Symbol" w:hAnsi="Symbol" w:cs="Symbol" w:hint="default"/>
      </w:rPr>
    </w:lvl>
    <w:lvl w:ilvl="1" w:tplc="9770409A">
      <w:start w:val="1"/>
      <w:numFmt w:val="bullet"/>
      <w:lvlText w:val="o"/>
      <w:lvlJc w:val="left"/>
      <w:pPr>
        <w:ind w:left="2846" w:hanging="360"/>
      </w:pPr>
      <w:rPr>
        <w:rFonts w:ascii="Courier New" w:eastAsia="Courier New" w:hAnsi="Courier New" w:cs="Courier New" w:hint="default"/>
      </w:rPr>
    </w:lvl>
    <w:lvl w:ilvl="2" w:tplc="B65EDEA8">
      <w:start w:val="1"/>
      <w:numFmt w:val="bullet"/>
      <w:lvlText w:val="§"/>
      <w:lvlJc w:val="left"/>
      <w:pPr>
        <w:ind w:left="3566" w:hanging="360"/>
      </w:pPr>
      <w:rPr>
        <w:rFonts w:ascii="Wingdings" w:eastAsia="Wingdings" w:hAnsi="Wingdings" w:cs="Wingdings" w:hint="default"/>
      </w:rPr>
    </w:lvl>
    <w:lvl w:ilvl="3" w:tplc="59826444">
      <w:start w:val="1"/>
      <w:numFmt w:val="bullet"/>
      <w:lvlText w:val="·"/>
      <w:lvlJc w:val="left"/>
      <w:pPr>
        <w:ind w:left="4286" w:hanging="360"/>
      </w:pPr>
      <w:rPr>
        <w:rFonts w:ascii="Symbol" w:eastAsia="Symbol" w:hAnsi="Symbol" w:cs="Symbol" w:hint="default"/>
      </w:rPr>
    </w:lvl>
    <w:lvl w:ilvl="4" w:tplc="FAD8CAA4">
      <w:start w:val="1"/>
      <w:numFmt w:val="bullet"/>
      <w:lvlText w:val="o"/>
      <w:lvlJc w:val="left"/>
      <w:pPr>
        <w:ind w:left="5006" w:hanging="360"/>
      </w:pPr>
      <w:rPr>
        <w:rFonts w:ascii="Courier New" w:eastAsia="Courier New" w:hAnsi="Courier New" w:cs="Courier New" w:hint="default"/>
      </w:rPr>
    </w:lvl>
    <w:lvl w:ilvl="5" w:tplc="9EFCAC00">
      <w:start w:val="1"/>
      <w:numFmt w:val="bullet"/>
      <w:lvlText w:val="§"/>
      <w:lvlJc w:val="left"/>
      <w:pPr>
        <w:ind w:left="5726" w:hanging="360"/>
      </w:pPr>
      <w:rPr>
        <w:rFonts w:ascii="Wingdings" w:eastAsia="Wingdings" w:hAnsi="Wingdings" w:cs="Wingdings" w:hint="default"/>
      </w:rPr>
    </w:lvl>
    <w:lvl w:ilvl="6" w:tplc="E64A5A74">
      <w:start w:val="1"/>
      <w:numFmt w:val="bullet"/>
      <w:lvlText w:val="·"/>
      <w:lvlJc w:val="left"/>
      <w:pPr>
        <w:ind w:left="6446" w:hanging="360"/>
      </w:pPr>
      <w:rPr>
        <w:rFonts w:ascii="Symbol" w:eastAsia="Symbol" w:hAnsi="Symbol" w:cs="Symbol" w:hint="default"/>
      </w:rPr>
    </w:lvl>
    <w:lvl w:ilvl="7" w:tplc="780283DE">
      <w:start w:val="1"/>
      <w:numFmt w:val="bullet"/>
      <w:lvlText w:val="o"/>
      <w:lvlJc w:val="left"/>
      <w:pPr>
        <w:ind w:left="7166" w:hanging="360"/>
      </w:pPr>
      <w:rPr>
        <w:rFonts w:ascii="Courier New" w:eastAsia="Courier New" w:hAnsi="Courier New" w:cs="Courier New" w:hint="default"/>
      </w:rPr>
    </w:lvl>
    <w:lvl w:ilvl="8" w:tplc="7ACC5CC6">
      <w:start w:val="1"/>
      <w:numFmt w:val="bullet"/>
      <w:lvlText w:val="§"/>
      <w:lvlJc w:val="left"/>
      <w:pPr>
        <w:ind w:left="7886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4801405"/>
    <w:multiLevelType w:val="hybridMultilevel"/>
    <w:tmpl w:val="716E2A74"/>
    <w:lvl w:ilvl="0" w:tplc="F02EA7D8">
      <w:start w:val="1"/>
      <w:numFmt w:val="decimal"/>
      <w:lvlText w:val="%1."/>
      <w:lvlJc w:val="left"/>
    </w:lvl>
    <w:lvl w:ilvl="1" w:tplc="735E46AE">
      <w:start w:val="1"/>
      <w:numFmt w:val="lowerLetter"/>
      <w:lvlText w:val="%2."/>
      <w:lvlJc w:val="left"/>
      <w:pPr>
        <w:ind w:left="1440" w:hanging="360"/>
      </w:pPr>
    </w:lvl>
    <w:lvl w:ilvl="2" w:tplc="E5DE1C04">
      <w:start w:val="1"/>
      <w:numFmt w:val="lowerRoman"/>
      <w:lvlText w:val="%3."/>
      <w:lvlJc w:val="right"/>
      <w:pPr>
        <w:ind w:left="2160" w:hanging="180"/>
      </w:pPr>
    </w:lvl>
    <w:lvl w:ilvl="3" w:tplc="05A03796">
      <w:start w:val="1"/>
      <w:numFmt w:val="decimal"/>
      <w:lvlText w:val="%4."/>
      <w:lvlJc w:val="left"/>
      <w:pPr>
        <w:ind w:left="2880" w:hanging="360"/>
      </w:pPr>
    </w:lvl>
    <w:lvl w:ilvl="4" w:tplc="D83C32C6">
      <w:start w:val="1"/>
      <w:numFmt w:val="lowerLetter"/>
      <w:lvlText w:val="%5."/>
      <w:lvlJc w:val="left"/>
      <w:pPr>
        <w:ind w:left="3600" w:hanging="360"/>
      </w:pPr>
    </w:lvl>
    <w:lvl w:ilvl="5" w:tplc="5EFC78F0">
      <w:start w:val="1"/>
      <w:numFmt w:val="lowerRoman"/>
      <w:lvlText w:val="%6."/>
      <w:lvlJc w:val="right"/>
      <w:pPr>
        <w:ind w:left="4320" w:hanging="180"/>
      </w:pPr>
    </w:lvl>
    <w:lvl w:ilvl="6" w:tplc="EA903F66">
      <w:start w:val="1"/>
      <w:numFmt w:val="decimal"/>
      <w:lvlText w:val="%7."/>
      <w:lvlJc w:val="left"/>
      <w:pPr>
        <w:ind w:left="5040" w:hanging="360"/>
      </w:pPr>
    </w:lvl>
    <w:lvl w:ilvl="7" w:tplc="8C8A26AC">
      <w:start w:val="1"/>
      <w:numFmt w:val="lowerLetter"/>
      <w:lvlText w:val="%8."/>
      <w:lvlJc w:val="left"/>
      <w:pPr>
        <w:ind w:left="5760" w:hanging="360"/>
      </w:pPr>
    </w:lvl>
    <w:lvl w:ilvl="8" w:tplc="06B827A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24E1A"/>
    <w:multiLevelType w:val="hybridMultilevel"/>
    <w:tmpl w:val="EB54B270"/>
    <w:lvl w:ilvl="0" w:tplc="55A04E36">
      <w:start w:val="1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735C6B"/>
    <w:multiLevelType w:val="hybridMultilevel"/>
    <w:tmpl w:val="73749C7E"/>
    <w:lvl w:ilvl="0" w:tplc="07A0C788">
      <w:start w:val="1"/>
      <w:numFmt w:val="decimal"/>
      <w:lvlText w:val="%1)"/>
      <w:lvlJc w:val="right"/>
    </w:lvl>
    <w:lvl w:ilvl="1" w:tplc="55EE1D86">
      <w:start w:val="1"/>
      <w:numFmt w:val="lowerLetter"/>
      <w:lvlText w:val="%2."/>
      <w:lvlJc w:val="left"/>
      <w:pPr>
        <w:ind w:left="1440" w:hanging="360"/>
      </w:pPr>
    </w:lvl>
    <w:lvl w:ilvl="2" w:tplc="F57AF57A">
      <w:start w:val="1"/>
      <w:numFmt w:val="lowerRoman"/>
      <w:lvlText w:val="%3."/>
      <w:lvlJc w:val="right"/>
      <w:pPr>
        <w:ind w:left="2160" w:hanging="180"/>
      </w:pPr>
    </w:lvl>
    <w:lvl w:ilvl="3" w:tplc="DE7E1114">
      <w:start w:val="1"/>
      <w:numFmt w:val="decimal"/>
      <w:lvlText w:val="%4."/>
      <w:lvlJc w:val="left"/>
      <w:pPr>
        <w:ind w:left="2880" w:hanging="360"/>
      </w:pPr>
    </w:lvl>
    <w:lvl w:ilvl="4" w:tplc="6A606E0C">
      <w:start w:val="1"/>
      <w:numFmt w:val="lowerLetter"/>
      <w:lvlText w:val="%5."/>
      <w:lvlJc w:val="left"/>
      <w:pPr>
        <w:ind w:left="3600" w:hanging="360"/>
      </w:pPr>
    </w:lvl>
    <w:lvl w:ilvl="5" w:tplc="2668CF46">
      <w:start w:val="1"/>
      <w:numFmt w:val="lowerRoman"/>
      <w:lvlText w:val="%6."/>
      <w:lvlJc w:val="right"/>
      <w:pPr>
        <w:ind w:left="4320" w:hanging="180"/>
      </w:pPr>
    </w:lvl>
    <w:lvl w:ilvl="6" w:tplc="5FFE0704">
      <w:start w:val="1"/>
      <w:numFmt w:val="decimal"/>
      <w:lvlText w:val="%7."/>
      <w:lvlJc w:val="left"/>
      <w:pPr>
        <w:ind w:left="5040" w:hanging="360"/>
      </w:pPr>
    </w:lvl>
    <w:lvl w:ilvl="7" w:tplc="8E7CD1A6">
      <w:start w:val="1"/>
      <w:numFmt w:val="lowerLetter"/>
      <w:lvlText w:val="%8."/>
      <w:lvlJc w:val="left"/>
      <w:pPr>
        <w:ind w:left="5760" w:hanging="360"/>
      </w:pPr>
    </w:lvl>
    <w:lvl w:ilvl="8" w:tplc="814E28F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101A4"/>
    <w:multiLevelType w:val="hybridMultilevel"/>
    <w:tmpl w:val="3B22E81C"/>
    <w:lvl w:ilvl="0" w:tplc="072C8A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EAC9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C66E1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C405C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2C96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4702E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A60DE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3AACE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7B093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62D44EB"/>
    <w:multiLevelType w:val="hybridMultilevel"/>
    <w:tmpl w:val="7E9A4252"/>
    <w:lvl w:ilvl="0" w:tplc="C7AE042A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376E075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E8238F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EEC87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4148FC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4C4BEF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F10AB5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190CCF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838A78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B644463"/>
    <w:multiLevelType w:val="hybridMultilevel"/>
    <w:tmpl w:val="9C865972"/>
    <w:lvl w:ilvl="0" w:tplc="BC0A3D1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BE624F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586A66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2EE36F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9F8B8D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D8AFAD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7740C1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ABAF20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4C2BE5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17055DC"/>
    <w:multiLevelType w:val="hybridMultilevel"/>
    <w:tmpl w:val="50320DB6"/>
    <w:lvl w:ilvl="0" w:tplc="54387190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1A0ED4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7C65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E2E77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78C1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ABCBD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FBE83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1A79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F6E35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6BD11208"/>
    <w:multiLevelType w:val="hybridMultilevel"/>
    <w:tmpl w:val="C53878D0"/>
    <w:lvl w:ilvl="0" w:tplc="4CC224CA">
      <w:start w:val="1"/>
      <w:numFmt w:val="decimal"/>
      <w:lvlText w:val="%1."/>
      <w:lvlJc w:val="left"/>
    </w:lvl>
    <w:lvl w:ilvl="1" w:tplc="A14C472A">
      <w:start w:val="1"/>
      <w:numFmt w:val="lowerLetter"/>
      <w:lvlText w:val="%2."/>
      <w:lvlJc w:val="left"/>
      <w:pPr>
        <w:ind w:left="1440" w:hanging="360"/>
      </w:pPr>
    </w:lvl>
    <w:lvl w:ilvl="2" w:tplc="862A6DD8">
      <w:start w:val="1"/>
      <w:numFmt w:val="lowerRoman"/>
      <w:lvlText w:val="%3."/>
      <w:lvlJc w:val="right"/>
      <w:pPr>
        <w:ind w:left="2160" w:hanging="180"/>
      </w:pPr>
    </w:lvl>
    <w:lvl w:ilvl="3" w:tplc="6C509A92">
      <w:start w:val="1"/>
      <w:numFmt w:val="decimal"/>
      <w:lvlText w:val="%4."/>
      <w:lvlJc w:val="left"/>
      <w:pPr>
        <w:ind w:left="2880" w:hanging="360"/>
      </w:pPr>
    </w:lvl>
    <w:lvl w:ilvl="4" w:tplc="62BE768E">
      <w:start w:val="1"/>
      <w:numFmt w:val="lowerLetter"/>
      <w:lvlText w:val="%5."/>
      <w:lvlJc w:val="left"/>
      <w:pPr>
        <w:ind w:left="3600" w:hanging="360"/>
      </w:pPr>
    </w:lvl>
    <w:lvl w:ilvl="5" w:tplc="A0C63D2C">
      <w:start w:val="1"/>
      <w:numFmt w:val="lowerRoman"/>
      <w:lvlText w:val="%6."/>
      <w:lvlJc w:val="right"/>
      <w:pPr>
        <w:ind w:left="4320" w:hanging="180"/>
      </w:pPr>
    </w:lvl>
    <w:lvl w:ilvl="6" w:tplc="34E8098C">
      <w:start w:val="1"/>
      <w:numFmt w:val="decimal"/>
      <w:lvlText w:val="%7."/>
      <w:lvlJc w:val="left"/>
      <w:pPr>
        <w:ind w:left="5040" w:hanging="360"/>
      </w:pPr>
    </w:lvl>
    <w:lvl w:ilvl="7" w:tplc="7CEE4926">
      <w:start w:val="1"/>
      <w:numFmt w:val="lowerLetter"/>
      <w:lvlText w:val="%8."/>
      <w:lvlJc w:val="left"/>
      <w:pPr>
        <w:ind w:left="5760" w:hanging="360"/>
      </w:pPr>
    </w:lvl>
    <w:lvl w:ilvl="8" w:tplc="B53069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F0E52"/>
    <w:multiLevelType w:val="hybridMultilevel"/>
    <w:tmpl w:val="032A9B4C"/>
    <w:lvl w:ilvl="0" w:tplc="BAC2269E">
      <w:start w:val="2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DBD1150"/>
    <w:multiLevelType w:val="hybridMultilevel"/>
    <w:tmpl w:val="A7B66F8C"/>
    <w:lvl w:ilvl="0" w:tplc="B0682CE8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  <w:sz w:val="28"/>
      </w:rPr>
    </w:lvl>
    <w:lvl w:ilvl="1" w:tplc="4D4CBD8C">
      <w:start w:val="1"/>
      <w:numFmt w:val="lowerLetter"/>
      <w:lvlText w:val="%2."/>
      <w:lvlJc w:val="left"/>
      <w:pPr>
        <w:ind w:left="1429" w:hanging="360"/>
      </w:pPr>
    </w:lvl>
    <w:lvl w:ilvl="2" w:tplc="22F0D13A">
      <w:start w:val="1"/>
      <w:numFmt w:val="lowerRoman"/>
      <w:lvlText w:val="%3."/>
      <w:lvlJc w:val="right"/>
      <w:pPr>
        <w:ind w:left="2149" w:hanging="180"/>
      </w:pPr>
    </w:lvl>
    <w:lvl w:ilvl="3" w:tplc="2E7CD854">
      <w:start w:val="1"/>
      <w:numFmt w:val="decimal"/>
      <w:lvlText w:val="%4."/>
      <w:lvlJc w:val="left"/>
      <w:pPr>
        <w:ind w:left="2869" w:hanging="360"/>
      </w:pPr>
    </w:lvl>
    <w:lvl w:ilvl="4" w:tplc="C2DE690C">
      <w:start w:val="1"/>
      <w:numFmt w:val="lowerLetter"/>
      <w:lvlText w:val="%5."/>
      <w:lvlJc w:val="left"/>
      <w:pPr>
        <w:ind w:left="3589" w:hanging="360"/>
      </w:pPr>
    </w:lvl>
    <w:lvl w:ilvl="5" w:tplc="80A6F1B6">
      <w:start w:val="1"/>
      <w:numFmt w:val="lowerRoman"/>
      <w:lvlText w:val="%6."/>
      <w:lvlJc w:val="right"/>
      <w:pPr>
        <w:ind w:left="4309" w:hanging="180"/>
      </w:pPr>
    </w:lvl>
    <w:lvl w:ilvl="6" w:tplc="53BCC158">
      <w:start w:val="1"/>
      <w:numFmt w:val="decimal"/>
      <w:lvlText w:val="%7."/>
      <w:lvlJc w:val="left"/>
      <w:pPr>
        <w:ind w:left="5029" w:hanging="360"/>
      </w:pPr>
    </w:lvl>
    <w:lvl w:ilvl="7" w:tplc="CAEA00E4">
      <w:start w:val="1"/>
      <w:numFmt w:val="lowerLetter"/>
      <w:lvlText w:val="%8."/>
      <w:lvlJc w:val="left"/>
      <w:pPr>
        <w:ind w:left="5749" w:hanging="360"/>
      </w:pPr>
    </w:lvl>
    <w:lvl w:ilvl="8" w:tplc="61B6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3"/>
  </w:num>
  <w:num w:numId="5">
    <w:abstractNumId w:val="7"/>
  </w:num>
  <w:num w:numId="6">
    <w:abstractNumId w:val="2"/>
  </w:num>
  <w:num w:numId="7">
    <w:abstractNumId w:val="1"/>
  </w:num>
  <w:num w:numId="8">
    <w:abstractNumId w:val="17"/>
  </w:num>
  <w:num w:numId="9">
    <w:abstractNumId w:val="21"/>
  </w:num>
  <w:num w:numId="10">
    <w:abstractNumId w:val="23"/>
  </w:num>
  <w:num w:numId="11">
    <w:abstractNumId w:val="14"/>
  </w:num>
  <w:num w:numId="12">
    <w:abstractNumId w:val="3"/>
  </w:num>
  <w:num w:numId="13">
    <w:abstractNumId w:val="20"/>
  </w:num>
  <w:num w:numId="14">
    <w:abstractNumId w:val="8"/>
  </w:num>
  <w:num w:numId="15">
    <w:abstractNumId w:val="4"/>
  </w:num>
  <w:num w:numId="16">
    <w:abstractNumId w:val="6"/>
  </w:num>
  <w:num w:numId="17">
    <w:abstractNumId w:val="18"/>
  </w:num>
  <w:num w:numId="18">
    <w:abstractNumId w:val="10"/>
  </w:num>
  <w:num w:numId="19">
    <w:abstractNumId w:val="5"/>
  </w:num>
  <w:num w:numId="20">
    <w:abstractNumId w:val="0"/>
  </w:num>
  <w:num w:numId="21">
    <w:abstractNumId w:val="9"/>
  </w:num>
  <w:num w:numId="22">
    <w:abstractNumId w:val="19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7D6"/>
    <w:rsid w:val="00154909"/>
    <w:rsid w:val="0043298F"/>
    <w:rsid w:val="004567D6"/>
    <w:rsid w:val="00492B61"/>
    <w:rsid w:val="005D6205"/>
    <w:rsid w:val="005F738C"/>
    <w:rsid w:val="00771D00"/>
    <w:rsid w:val="00805185"/>
    <w:rsid w:val="00883124"/>
    <w:rsid w:val="00961C45"/>
    <w:rsid w:val="00AF728D"/>
    <w:rsid w:val="00D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44D0E-43BC-4C5A-8FB2-43C374DE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sc-icfpwr">
    <w:name w:val="sc-icfpwr"/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"/>
    <w:rPr>
      <w:rFonts w:ascii="Arial" w:hAnsi="Arial"/>
      <w:sz w:val="20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table" w:customStyle="1" w:styleId="14">
    <w:name w:val="Сетка таблицы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Скосырев Василий Владиславович</dc:creator>
  <cp:lastModifiedBy>Скосырев Василий Владиславович</cp:lastModifiedBy>
  <cp:revision>8</cp:revision>
  <dcterms:created xsi:type="dcterms:W3CDTF">2026-04-14T14:56:00Z</dcterms:created>
  <dcterms:modified xsi:type="dcterms:W3CDTF">2026-04-14T17:17:00Z</dcterms:modified>
</cp:coreProperties>
</file>